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IA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tblBorders>
        <w:tblLayout w:type="fixed"/>
        <w:tblLook w:val="04A0" w:firstRow="1" w:lastRow="0" w:firstColumn="1" w:lastColumn="0" w:noHBand="0" w:noVBand="1"/>
      </w:tblPr>
      <w:tblGrid>
        <w:gridCol w:w="567"/>
        <w:gridCol w:w="1974"/>
        <w:gridCol w:w="2421"/>
        <w:gridCol w:w="708"/>
        <w:gridCol w:w="1334"/>
        <w:gridCol w:w="2175"/>
      </w:tblGrid>
      <w:tr w:rsidR="00842827" w:rsidRPr="00842827" w14:paraId="5240A422" w14:textId="77777777" w:rsidTr="00696F09">
        <w:trPr>
          <w:cnfStyle w:val="100000000000" w:firstRow="1" w:lastRow="0" w:firstColumn="0" w:lastColumn="0" w:oddVBand="0" w:evenVBand="0" w:oddHBand="0" w:evenHBand="0" w:firstRowFirstColumn="0" w:firstRowLastColumn="0" w:lastRowFirstColumn="0" w:lastRowLastColumn="0"/>
          <w:tblHeader/>
        </w:trPr>
        <w:tc>
          <w:tcPr>
            <w:tcW w:w="2541" w:type="dxa"/>
            <w:gridSpan w:val="2"/>
            <w:tcBorders>
              <w:top w:val="single" w:sz="12" w:space="0" w:color="1F546B" w:themeColor="text2"/>
              <w:bottom w:val="single" w:sz="6" w:space="0" w:color="FFFFFF" w:themeColor="background1"/>
            </w:tcBorders>
          </w:tcPr>
          <w:p w14:paraId="5240A420" w14:textId="6EDC6EDF" w:rsidR="008357E2" w:rsidRPr="008357E2" w:rsidRDefault="00696F09" w:rsidP="00603635">
            <w:r>
              <w:t xml:space="preserve"> </w:t>
            </w:r>
            <w:r w:rsidR="004F7278">
              <w:t>Review Name</w:t>
            </w:r>
            <w:r w:rsidR="008357E2" w:rsidRPr="008357E2">
              <w:t>:</w:t>
            </w:r>
          </w:p>
        </w:tc>
        <w:tc>
          <w:tcPr>
            <w:tcW w:w="6638" w:type="dxa"/>
            <w:gridSpan w:val="4"/>
            <w:tcBorders>
              <w:top w:val="single" w:sz="12" w:space="0" w:color="1F546B" w:themeColor="text2"/>
            </w:tcBorders>
            <w:shd w:val="clear" w:color="auto" w:fill="auto"/>
          </w:tcPr>
          <w:p w14:paraId="5240A421" w14:textId="61AB04AC" w:rsidR="008357E2" w:rsidRPr="00842827" w:rsidRDefault="008357E2" w:rsidP="00603635">
            <w:pPr>
              <w:rPr>
                <w:b w:val="0"/>
                <w:color w:val="auto"/>
              </w:rPr>
            </w:pPr>
          </w:p>
        </w:tc>
      </w:tr>
      <w:tr w:rsidR="008357E2" w14:paraId="5240A427" w14:textId="77777777" w:rsidTr="00696F09">
        <w:trPr>
          <w:cnfStyle w:val="100000000000" w:firstRow="1" w:lastRow="0" w:firstColumn="0" w:lastColumn="0" w:oddVBand="0" w:evenVBand="0" w:oddHBand="0" w:evenHBand="0" w:firstRowFirstColumn="0" w:firstRowLastColumn="0" w:lastRowFirstColumn="0" w:lastRowLastColumn="0"/>
          <w:tblHeader/>
        </w:trPr>
        <w:tc>
          <w:tcPr>
            <w:tcW w:w="2541" w:type="dxa"/>
            <w:gridSpan w:val="2"/>
            <w:tcBorders>
              <w:top w:val="single" w:sz="6" w:space="0" w:color="FFFFFF" w:themeColor="background1"/>
              <w:bottom w:val="single" w:sz="6" w:space="0" w:color="FFFFFF" w:themeColor="background1"/>
            </w:tcBorders>
          </w:tcPr>
          <w:p w14:paraId="5240A423" w14:textId="77777777" w:rsidR="008357E2" w:rsidRPr="00456859" w:rsidRDefault="007A06B4" w:rsidP="008357E2">
            <w:r>
              <w:t>Report</w:t>
            </w:r>
            <w:r w:rsidR="00CB45D2">
              <w:t xml:space="preserve"> </w:t>
            </w:r>
            <w:r w:rsidR="008357E2" w:rsidRPr="00456859">
              <w:t>Version Number:</w:t>
            </w:r>
          </w:p>
        </w:tc>
        <w:tc>
          <w:tcPr>
            <w:tcW w:w="2421" w:type="dxa"/>
            <w:shd w:val="clear" w:color="auto" w:fill="auto"/>
          </w:tcPr>
          <w:p w14:paraId="5240A424" w14:textId="15590F3B" w:rsidR="008357E2" w:rsidRPr="00842827" w:rsidRDefault="008357E2" w:rsidP="00603635">
            <w:pPr>
              <w:rPr>
                <w:b w:val="0"/>
                <w:color w:val="auto"/>
              </w:rPr>
            </w:pPr>
          </w:p>
        </w:tc>
        <w:tc>
          <w:tcPr>
            <w:tcW w:w="2042" w:type="dxa"/>
            <w:gridSpan w:val="2"/>
            <w:tcBorders>
              <w:bottom w:val="single" w:sz="6" w:space="0" w:color="FFFFFF" w:themeColor="background1"/>
            </w:tcBorders>
          </w:tcPr>
          <w:p w14:paraId="5240A425" w14:textId="77777777" w:rsidR="008357E2" w:rsidRPr="00456859" w:rsidRDefault="007A06B4" w:rsidP="008357E2">
            <w:r>
              <w:t>Report</w:t>
            </w:r>
            <w:r w:rsidR="008357E2" w:rsidRPr="00456859">
              <w:t xml:space="preserve"> Date:</w:t>
            </w:r>
          </w:p>
        </w:tc>
        <w:tc>
          <w:tcPr>
            <w:tcW w:w="2175" w:type="dxa"/>
            <w:shd w:val="clear" w:color="auto" w:fill="auto"/>
          </w:tcPr>
          <w:p w14:paraId="5240A426" w14:textId="3FD42629" w:rsidR="008357E2" w:rsidRPr="00842827" w:rsidRDefault="008357E2" w:rsidP="00603635">
            <w:pPr>
              <w:rPr>
                <w:b w:val="0"/>
                <w:color w:val="auto"/>
              </w:rPr>
            </w:pPr>
          </w:p>
        </w:tc>
      </w:tr>
      <w:tr w:rsidR="008357E2" w14:paraId="5240A42C" w14:textId="77777777" w:rsidTr="00696F09">
        <w:trPr>
          <w:cnfStyle w:val="100000000000" w:firstRow="1" w:lastRow="0" w:firstColumn="0" w:lastColumn="0" w:oddVBand="0" w:evenVBand="0" w:oddHBand="0" w:evenHBand="0" w:firstRowFirstColumn="0" w:firstRowLastColumn="0" w:lastRowFirstColumn="0" w:lastRowLastColumn="0"/>
          <w:tblHeader/>
        </w:trPr>
        <w:tc>
          <w:tcPr>
            <w:tcW w:w="2541" w:type="dxa"/>
            <w:gridSpan w:val="2"/>
            <w:tcBorders>
              <w:top w:val="single" w:sz="6" w:space="0" w:color="FFFFFF" w:themeColor="background1"/>
              <w:bottom w:val="single" w:sz="6" w:space="0" w:color="FFFFFF" w:themeColor="background1"/>
            </w:tcBorders>
          </w:tcPr>
          <w:p w14:paraId="5240A428" w14:textId="77777777" w:rsidR="008357E2" w:rsidRPr="00456859" w:rsidRDefault="008357E2" w:rsidP="00603635">
            <w:r w:rsidRPr="00456859">
              <w:t>Reviewer Name:</w:t>
            </w:r>
          </w:p>
        </w:tc>
        <w:tc>
          <w:tcPr>
            <w:tcW w:w="2421" w:type="dxa"/>
            <w:tcBorders>
              <w:bottom w:val="single" w:sz="6" w:space="0" w:color="FFFFFF" w:themeColor="background1"/>
            </w:tcBorders>
            <w:shd w:val="clear" w:color="auto" w:fill="auto"/>
          </w:tcPr>
          <w:p w14:paraId="5240A429" w14:textId="77777777" w:rsidR="008357E2" w:rsidRPr="00842827" w:rsidRDefault="008357E2" w:rsidP="00603635">
            <w:pPr>
              <w:rPr>
                <w:b w:val="0"/>
                <w:color w:val="auto"/>
              </w:rPr>
            </w:pPr>
          </w:p>
        </w:tc>
        <w:tc>
          <w:tcPr>
            <w:tcW w:w="2042" w:type="dxa"/>
            <w:gridSpan w:val="2"/>
            <w:tcBorders>
              <w:top w:val="single" w:sz="6" w:space="0" w:color="FFFFFF" w:themeColor="background1"/>
              <w:bottom w:val="single" w:sz="6" w:space="0" w:color="FFFFFF" w:themeColor="background1"/>
            </w:tcBorders>
          </w:tcPr>
          <w:p w14:paraId="5240A42A" w14:textId="77777777" w:rsidR="008357E2" w:rsidRPr="00456859" w:rsidRDefault="008357E2" w:rsidP="00603635">
            <w:r w:rsidRPr="00456859">
              <w:t>Review Date</w:t>
            </w:r>
            <w:r w:rsidR="005C0C0E" w:rsidRPr="00456859">
              <w:t>:</w:t>
            </w:r>
          </w:p>
        </w:tc>
        <w:tc>
          <w:tcPr>
            <w:tcW w:w="2175" w:type="dxa"/>
            <w:tcBorders>
              <w:bottom w:val="single" w:sz="6" w:space="0" w:color="FFFFFF" w:themeColor="background1"/>
            </w:tcBorders>
            <w:shd w:val="clear" w:color="auto" w:fill="auto"/>
          </w:tcPr>
          <w:p w14:paraId="5240A42B" w14:textId="77777777" w:rsidR="008357E2" w:rsidRPr="00842827" w:rsidRDefault="008357E2" w:rsidP="00603635">
            <w:pPr>
              <w:rPr>
                <w:b w:val="0"/>
                <w:color w:val="auto"/>
              </w:rPr>
            </w:pPr>
          </w:p>
        </w:tc>
      </w:tr>
      <w:tr w:rsidR="008357E2" w14:paraId="5240A431" w14:textId="77777777" w:rsidTr="00696F09">
        <w:trPr>
          <w:cnfStyle w:val="100000000000" w:firstRow="1" w:lastRow="0" w:firstColumn="0" w:lastColumn="0" w:oddVBand="0" w:evenVBand="0" w:oddHBand="0" w:evenHBand="0" w:firstRowFirstColumn="0" w:firstRowLastColumn="0" w:lastRowFirstColumn="0" w:lastRowLastColumn="0"/>
          <w:tblHeader/>
        </w:trPr>
        <w:tc>
          <w:tcPr>
            <w:tcW w:w="567" w:type="dxa"/>
            <w:tcBorders>
              <w:top w:val="single" w:sz="6" w:space="0" w:color="FFFFFF" w:themeColor="background1"/>
              <w:bottom w:val="single" w:sz="6" w:space="0" w:color="FFFFFF" w:themeColor="background1"/>
            </w:tcBorders>
          </w:tcPr>
          <w:p w14:paraId="5240A42D" w14:textId="77777777" w:rsidR="008357E2" w:rsidRPr="00456859" w:rsidRDefault="008357E2" w:rsidP="008357E2">
            <w:r w:rsidRPr="00456859">
              <w:t>#</w:t>
            </w:r>
          </w:p>
        </w:tc>
        <w:tc>
          <w:tcPr>
            <w:tcW w:w="4395" w:type="dxa"/>
            <w:gridSpan w:val="2"/>
            <w:tcBorders>
              <w:top w:val="single" w:sz="6" w:space="0" w:color="FFFFFF" w:themeColor="background1"/>
              <w:bottom w:val="single" w:sz="6" w:space="0" w:color="FFFFFF" w:themeColor="background1"/>
            </w:tcBorders>
          </w:tcPr>
          <w:p w14:paraId="5240A42E" w14:textId="77777777" w:rsidR="008357E2" w:rsidRPr="00456859" w:rsidRDefault="008357E2" w:rsidP="00603635">
            <w:r w:rsidRPr="00456859">
              <w:t>Question</w:t>
            </w:r>
          </w:p>
        </w:tc>
        <w:tc>
          <w:tcPr>
            <w:tcW w:w="708" w:type="dxa"/>
            <w:tcBorders>
              <w:top w:val="single" w:sz="6" w:space="0" w:color="FFFFFF" w:themeColor="background1"/>
              <w:bottom w:val="single" w:sz="6" w:space="0" w:color="FFFFFF" w:themeColor="background1"/>
            </w:tcBorders>
          </w:tcPr>
          <w:p w14:paraId="5240A42F" w14:textId="77777777" w:rsidR="008357E2" w:rsidRPr="00456859" w:rsidRDefault="008357E2" w:rsidP="00603635">
            <w:r w:rsidRPr="00456859">
              <w:t>Y/N</w:t>
            </w:r>
          </w:p>
        </w:tc>
        <w:tc>
          <w:tcPr>
            <w:tcW w:w="3509" w:type="dxa"/>
            <w:gridSpan w:val="2"/>
            <w:tcBorders>
              <w:top w:val="single" w:sz="6" w:space="0" w:color="FFFFFF" w:themeColor="background1"/>
              <w:bottom w:val="single" w:sz="6" w:space="0" w:color="FFFFFF" w:themeColor="background1"/>
            </w:tcBorders>
          </w:tcPr>
          <w:p w14:paraId="5240A430" w14:textId="77777777" w:rsidR="008357E2" w:rsidRPr="00456859" w:rsidRDefault="008357E2" w:rsidP="00603635">
            <w:r w:rsidRPr="00456859">
              <w:t>Feedback</w:t>
            </w:r>
          </w:p>
        </w:tc>
      </w:tr>
      <w:tr w:rsidR="008357E2" w14:paraId="5240A43A" w14:textId="77777777" w:rsidTr="00696F09">
        <w:tc>
          <w:tcPr>
            <w:tcW w:w="567" w:type="dxa"/>
            <w:tcBorders>
              <w:top w:val="single" w:sz="6" w:space="0" w:color="FFFFFF" w:themeColor="background1"/>
              <w:left w:val="single" w:sz="12" w:space="0" w:color="1F546B" w:themeColor="text2"/>
            </w:tcBorders>
          </w:tcPr>
          <w:p w14:paraId="5240A432" w14:textId="77777777" w:rsidR="008357E2" w:rsidRDefault="008357E2" w:rsidP="00603635">
            <w:r>
              <w:t>1</w:t>
            </w:r>
          </w:p>
        </w:tc>
        <w:tc>
          <w:tcPr>
            <w:tcW w:w="4395" w:type="dxa"/>
            <w:gridSpan w:val="2"/>
            <w:tcBorders>
              <w:top w:val="single" w:sz="6" w:space="0" w:color="FFFFFF" w:themeColor="background1"/>
            </w:tcBorders>
          </w:tcPr>
          <w:p w14:paraId="5240A433" w14:textId="6D37CBFB" w:rsidR="008357E2" w:rsidRDefault="007A06B4" w:rsidP="00EC6F9E">
            <w:r>
              <w:t>Is the executive summary clear</w:t>
            </w:r>
            <w:r w:rsidR="004F7278">
              <w:t xml:space="preserve"> based on the objectives of the review</w:t>
            </w:r>
            <w:r w:rsidR="00CB45D2">
              <w:t>?</w:t>
            </w:r>
          </w:p>
          <w:p w14:paraId="5240A434" w14:textId="01E77423" w:rsidR="00CB45D2" w:rsidRDefault="007A06B4" w:rsidP="00CB45D2">
            <w:pPr>
              <w:rPr>
                <w:i/>
                <w:sz w:val="18"/>
              </w:rPr>
            </w:pPr>
            <w:r>
              <w:rPr>
                <w:i/>
                <w:sz w:val="18"/>
              </w:rPr>
              <w:t>Consider whether</w:t>
            </w:r>
            <w:r w:rsidR="00CB45D2">
              <w:rPr>
                <w:i/>
                <w:sz w:val="18"/>
              </w:rPr>
              <w:t>:</w:t>
            </w:r>
          </w:p>
          <w:p w14:paraId="5240A435" w14:textId="77777777" w:rsidR="007A06B4" w:rsidRDefault="006B728B" w:rsidP="007A06B4">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The k</w:t>
            </w:r>
            <w:r w:rsidR="007A06B4">
              <w:rPr>
                <w:rFonts w:asciiTheme="minorHAnsi" w:hAnsiTheme="minorHAnsi"/>
                <w:i/>
                <w:sz w:val="18"/>
                <w:szCs w:val="22"/>
              </w:rPr>
              <w:t xml:space="preserve">ey findings </w:t>
            </w:r>
            <w:r w:rsidR="00DA4CC5">
              <w:rPr>
                <w:rFonts w:asciiTheme="minorHAnsi" w:hAnsiTheme="minorHAnsi"/>
                <w:i/>
                <w:sz w:val="18"/>
                <w:szCs w:val="22"/>
              </w:rPr>
              <w:t xml:space="preserve">and recommendations </w:t>
            </w:r>
            <w:r w:rsidR="007A06B4">
              <w:rPr>
                <w:rFonts w:asciiTheme="minorHAnsi" w:hAnsiTheme="minorHAnsi"/>
                <w:i/>
                <w:sz w:val="18"/>
                <w:szCs w:val="22"/>
              </w:rPr>
              <w:t>from the review are adequately reflected</w:t>
            </w:r>
            <w:r w:rsidR="00DA4CC5">
              <w:rPr>
                <w:rFonts w:asciiTheme="minorHAnsi" w:hAnsiTheme="minorHAnsi"/>
                <w:i/>
                <w:sz w:val="18"/>
                <w:szCs w:val="22"/>
              </w:rPr>
              <w:t xml:space="preserve"> in the executive summary.</w:t>
            </w:r>
          </w:p>
          <w:p w14:paraId="41BD48BF" w14:textId="466F778E" w:rsidR="004F7278" w:rsidRPr="004F7278" w:rsidRDefault="002F2131" w:rsidP="004F7278">
            <w:pPr>
              <w:pStyle w:val="ListParagraph"/>
              <w:numPr>
                <w:ilvl w:val="0"/>
                <w:numId w:val="28"/>
              </w:numPr>
              <w:spacing w:before="20" w:after="20"/>
              <w:rPr>
                <w:i/>
                <w:sz w:val="18"/>
              </w:rPr>
            </w:pPr>
            <w:r w:rsidRPr="00015089">
              <w:rPr>
                <w:rFonts w:asciiTheme="minorHAnsi" w:hAnsiTheme="minorHAnsi"/>
                <w:i/>
                <w:sz w:val="18"/>
                <w:szCs w:val="22"/>
              </w:rPr>
              <w:t>The key findings</w:t>
            </w:r>
            <w:r w:rsidR="004F7278">
              <w:rPr>
                <w:rFonts w:asciiTheme="minorHAnsi" w:hAnsiTheme="minorHAnsi"/>
                <w:i/>
                <w:sz w:val="18"/>
                <w:szCs w:val="22"/>
              </w:rPr>
              <w:t xml:space="preserve"> address the specific objectives of the review, including any areas of concern raised by the sponsor and other key stakeholders</w:t>
            </w:r>
            <w:r w:rsidRPr="00015089">
              <w:rPr>
                <w:rFonts w:asciiTheme="minorHAnsi" w:hAnsiTheme="minorHAnsi"/>
                <w:i/>
                <w:sz w:val="18"/>
                <w:szCs w:val="22"/>
              </w:rPr>
              <w:t>.</w:t>
            </w:r>
            <w:r w:rsidR="00DA4CC5" w:rsidRPr="00015089">
              <w:rPr>
                <w:rFonts w:asciiTheme="minorHAnsi" w:hAnsiTheme="minorHAnsi"/>
                <w:i/>
                <w:sz w:val="18"/>
                <w:szCs w:val="22"/>
              </w:rPr>
              <w:t xml:space="preserve"> </w:t>
            </w:r>
          </w:p>
          <w:p w14:paraId="5240A437" w14:textId="221E4D45" w:rsidR="00CB45D2" w:rsidRPr="00742A90" w:rsidRDefault="007A06B4" w:rsidP="004F7278">
            <w:pPr>
              <w:pStyle w:val="ListParagraph"/>
              <w:numPr>
                <w:ilvl w:val="0"/>
                <w:numId w:val="28"/>
              </w:numPr>
              <w:spacing w:before="20" w:after="20"/>
              <w:rPr>
                <w:i/>
                <w:sz w:val="18"/>
              </w:rPr>
            </w:pPr>
            <w:r>
              <w:rPr>
                <w:rFonts w:asciiTheme="minorHAnsi" w:hAnsiTheme="minorHAnsi"/>
                <w:i/>
                <w:sz w:val="18"/>
                <w:szCs w:val="22"/>
              </w:rPr>
              <w:t xml:space="preserve">The executive summary is easy to understand by </w:t>
            </w:r>
            <w:r w:rsidR="004F7278">
              <w:rPr>
                <w:rFonts w:asciiTheme="minorHAnsi" w:hAnsiTheme="minorHAnsi"/>
                <w:i/>
                <w:sz w:val="18"/>
                <w:szCs w:val="22"/>
              </w:rPr>
              <w:t xml:space="preserve">the </w:t>
            </w:r>
            <w:r w:rsidR="00696F09">
              <w:rPr>
                <w:rFonts w:asciiTheme="minorHAnsi" w:hAnsiTheme="minorHAnsi"/>
                <w:i/>
                <w:sz w:val="18"/>
                <w:szCs w:val="22"/>
              </w:rPr>
              <w:t>sponsor of the review</w:t>
            </w:r>
            <w:r w:rsidR="004F7278">
              <w:rPr>
                <w:rFonts w:asciiTheme="minorHAnsi" w:hAnsiTheme="minorHAnsi"/>
                <w:i/>
                <w:sz w:val="18"/>
                <w:szCs w:val="22"/>
              </w:rPr>
              <w:t xml:space="preserve"> and other key stakeholders</w:t>
            </w:r>
            <w:r>
              <w:rPr>
                <w:rFonts w:asciiTheme="minorHAnsi" w:hAnsiTheme="minorHAnsi"/>
                <w:i/>
                <w:sz w:val="18"/>
                <w:szCs w:val="22"/>
              </w:rPr>
              <w:t>.</w:t>
            </w:r>
          </w:p>
        </w:tc>
        <w:tc>
          <w:tcPr>
            <w:tcW w:w="708" w:type="dxa"/>
            <w:tcBorders>
              <w:top w:val="single" w:sz="6" w:space="0" w:color="FFFFFF" w:themeColor="background1"/>
            </w:tcBorders>
          </w:tcPr>
          <w:p w14:paraId="5240A438" w14:textId="23A3A1CD" w:rsidR="008357E2" w:rsidRDefault="008357E2" w:rsidP="00603635"/>
        </w:tc>
        <w:tc>
          <w:tcPr>
            <w:tcW w:w="3509" w:type="dxa"/>
            <w:gridSpan w:val="2"/>
            <w:tcBorders>
              <w:top w:val="single" w:sz="6" w:space="0" w:color="FFFFFF" w:themeColor="background1"/>
              <w:right w:val="single" w:sz="12" w:space="0" w:color="1F546B" w:themeColor="text2"/>
            </w:tcBorders>
          </w:tcPr>
          <w:p w14:paraId="5240A439" w14:textId="5C854165" w:rsidR="008357E2" w:rsidRDefault="008357E2" w:rsidP="00603635"/>
        </w:tc>
      </w:tr>
      <w:tr w:rsidR="008357E2" w14:paraId="5240A442" w14:textId="77777777" w:rsidTr="00696F09">
        <w:tc>
          <w:tcPr>
            <w:tcW w:w="567" w:type="dxa"/>
            <w:tcBorders>
              <w:left w:val="single" w:sz="12" w:space="0" w:color="1F546B" w:themeColor="text2"/>
            </w:tcBorders>
          </w:tcPr>
          <w:p w14:paraId="5240A43B" w14:textId="77777777" w:rsidR="008357E2" w:rsidRDefault="008357E2" w:rsidP="00603635">
            <w:r>
              <w:t>2</w:t>
            </w:r>
          </w:p>
        </w:tc>
        <w:tc>
          <w:tcPr>
            <w:tcW w:w="4395" w:type="dxa"/>
            <w:gridSpan w:val="2"/>
          </w:tcPr>
          <w:p w14:paraId="5240A43C" w14:textId="77777777" w:rsidR="007A06B4" w:rsidRPr="007A06B4" w:rsidRDefault="007A06B4" w:rsidP="007A06B4">
            <w:r w:rsidRPr="007A06B4">
              <w:t xml:space="preserve">Does the </w:t>
            </w:r>
            <w:r>
              <w:t>assurance report</w:t>
            </w:r>
            <w:r w:rsidRPr="007A06B4">
              <w:t xml:space="preserve"> align to the original </w:t>
            </w:r>
            <w:r>
              <w:t>terms of reference</w:t>
            </w:r>
            <w:r w:rsidRPr="007A06B4">
              <w:t>?</w:t>
            </w:r>
          </w:p>
          <w:p w14:paraId="5240A43D" w14:textId="77777777" w:rsidR="007A06B4" w:rsidRPr="007A06B4" w:rsidRDefault="007A06B4" w:rsidP="007A06B4">
            <w:pPr>
              <w:rPr>
                <w:i/>
                <w:sz w:val="18"/>
              </w:rPr>
            </w:pPr>
            <w:r w:rsidRPr="007A06B4">
              <w:rPr>
                <w:i/>
                <w:sz w:val="18"/>
              </w:rPr>
              <w:t>Consider whether:</w:t>
            </w:r>
          </w:p>
          <w:p w14:paraId="5240A43E" w14:textId="77777777" w:rsidR="007A06B4" w:rsidRDefault="007A06B4" w:rsidP="007A06B4">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All scope items are covered</w:t>
            </w:r>
            <w:r w:rsidR="00DA4CC5">
              <w:rPr>
                <w:rFonts w:asciiTheme="minorHAnsi" w:hAnsiTheme="minorHAnsi"/>
                <w:i/>
                <w:sz w:val="18"/>
                <w:szCs w:val="22"/>
              </w:rPr>
              <w:t>.</w:t>
            </w:r>
          </w:p>
          <w:p w14:paraId="5240A43F" w14:textId="77777777" w:rsidR="005C0C0E" w:rsidRPr="007A06B4" w:rsidRDefault="007A06B4" w:rsidP="007A06B4">
            <w:pPr>
              <w:pStyle w:val="ListParagraph"/>
              <w:numPr>
                <w:ilvl w:val="0"/>
                <w:numId w:val="28"/>
              </w:numPr>
              <w:spacing w:before="20" w:after="20"/>
              <w:rPr>
                <w:rFonts w:asciiTheme="minorHAnsi" w:hAnsiTheme="minorHAnsi"/>
                <w:i/>
                <w:sz w:val="18"/>
                <w:szCs w:val="22"/>
              </w:rPr>
            </w:pPr>
            <w:r w:rsidRPr="007A06B4">
              <w:rPr>
                <w:rFonts w:asciiTheme="minorHAnsi" w:hAnsiTheme="minorHAnsi"/>
                <w:i/>
                <w:sz w:val="18"/>
                <w:szCs w:val="22"/>
              </w:rPr>
              <w:t>There is appropriate depth of coverage based on the original scope.</w:t>
            </w:r>
          </w:p>
        </w:tc>
        <w:tc>
          <w:tcPr>
            <w:tcW w:w="708" w:type="dxa"/>
          </w:tcPr>
          <w:p w14:paraId="5240A440" w14:textId="77777777" w:rsidR="008357E2" w:rsidRDefault="008357E2" w:rsidP="00603635"/>
        </w:tc>
        <w:tc>
          <w:tcPr>
            <w:tcW w:w="3509" w:type="dxa"/>
            <w:gridSpan w:val="2"/>
            <w:tcBorders>
              <w:right w:val="single" w:sz="12" w:space="0" w:color="1F546B" w:themeColor="text2"/>
            </w:tcBorders>
          </w:tcPr>
          <w:p w14:paraId="5240A441" w14:textId="77777777" w:rsidR="008357E2" w:rsidRDefault="008357E2" w:rsidP="00603635"/>
        </w:tc>
      </w:tr>
      <w:tr w:rsidR="008357E2" w14:paraId="5240A44D" w14:textId="77777777" w:rsidTr="00696F09">
        <w:tc>
          <w:tcPr>
            <w:tcW w:w="567" w:type="dxa"/>
            <w:tcBorders>
              <w:left w:val="single" w:sz="12" w:space="0" w:color="1F546B" w:themeColor="text2"/>
            </w:tcBorders>
          </w:tcPr>
          <w:p w14:paraId="5240A443" w14:textId="77777777" w:rsidR="008357E2" w:rsidRDefault="00741290" w:rsidP="00741290">
            <w:r>
              <w:t>3</w:t>
            </w:r>
          </w:p>
        </w:tc>
        <w:tc>
          <w:tcPr>
            <w:tcW w:w="4395" w:type="dxa"/>
            <w:gridSpan w:val="2"/>
          </w:tcPr>
          <w:p w14:paraId="5240A444" w14:textId="77777777" w:rsidR="007A06B4" w:rsidRPr="007A06B4" w:rsidRDefault="007A06B4" w:rsidP="007A06B4">
            <w:r w:rsidRPr="007A06B4">
              <w:t xml:space="preserve">Are the detailed findings relevant and supported by sufficient evidence?  </w:t>
            </w:r>
          </w:p>
          <w:p w14:paraId="5240A445" w14:textId="77777777" w:rsidR="007A06B4" w:rsidRPr="007A06B4" w:rsidRDefault="007A06B4" w:rsidP="007A06B4">
            <w:pPr>
              <w:rPr>
                <w:i/>
                <w:sz w:val="18"/>
              </w:rPr>
            </w:pPr>
            <w:r w:rsidRPr="007A06B4">
              <w:rPr>
                <w:i/>
                <w:sz w:val="18"/>
              </w:rPr>
              <w:t>Consider whether:</w:t>
            </w:r>
          </w:p>
          <w:p w14:paraId="5240A446" w14:textId="77777777" w:rsidR="007A06B4" w:rsidRDefault="007A06B4" w:rsidP="007A06B4">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Findings are well reasoned, clearly articulated and unambiguous</w:t>
            </w:r>
            <w:r w:rsidR="00DA4CC5">
              <w:rPr>
                <w:rFonts w:asciiTheme="minorHAnsi" w:hAnsiTheme="minorHAnsi"/>
                <w:i/>
                <w:sz w:val="18"/>
                <w:szCs w:val="22"/>
              </w:rPr>
              <w:t>.</w:t>
            </w:r>
          </w:p>
          <w:p w14:paraId="5240A447" w14:textId="2877491C" w:rsidR="007A06B4" w:rsidRDefault="007A06B4" w:rsidP="007A06B4">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Findings are supported by sufficient evidence</w:t>
            </w:r>
            <w:r w:rsidR="00696F09">
              <w:rPr>
                <w:rFonts w:asciiTheme="minorHAnsi" w:hAnsiTheme="minorHAnsi"/>
                <w:i/>
                <w:sz w:val="18"/>
                <w:szCs w:val="22"/>
              </w:rPr>
              <w:t>.</w:t>
            </w:r>
          </w:p>
          <w:p w14:paraId="5240A448" w14:textId="6A647212" w:rsidR="007A06B4" w:rsidRDefault="007A06B4" w:rsidP="007A06B4">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A factual accuracy check has been performed, including with key stakeholders</w:t>
            </w:r>
            <w:r w:rsidR="00DA4CC5">
              <w:rPr>
                <w:rFonts w:asciiTheme="minorHAnsi" w:hAnsiTheme="minorHAnsi"/>
                <w:i/>
                <w:sz w:val="18"/>
                <w:szCs w:val="22"/>
              </w:rPr>
              <w:t>.</w:t>
            </w:r>
          </w:p>
          <w:p w14:paraId="5240A44A" w14:textId="1ACAE3EE" w:rsidR="00742A90" w:rsidRPr="00605252" w:rsidRDefault="007A06B4" w:rsidP="00605252">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Findings are timely in relation to</w:t>
            </w:r>
            <w:r w:rsidR="00605252">
              <w:rPr>
                <w:rFonts w:asciiTheme="minorHAnsi" w:hAnsiTheme="minorHAnsi"/>
                <w:i/>
                <w:sz w:val="18"/>
                <w:szCs w:val="22"/>
              </w:rPr>
              <w:t xml:space="preserve"> specific</w:t>
            </w:r>
            <w:r>
              <w:rPr>
                <w:rFonts w:asciiTheme="minorHAnsi" w:hAnsiTheme="minorHAnsi"/>
                <w:i/>
                <w:sz w:val="18"/>
                <w:szCs w:val="22"/>
              </w:rPr>
              <w:t xml:space="preserve"> </w:t>
            </w:r>
            <w:r w:rsidR="00605252">
              <w:rPr>
                <w:rFonts w:asciiTheme="minorHAnsi" w:hAnsiTheme="minorHAnsi"/>
                <w:i/>
                <w:sz w:val="18"/>
                <w:szCs w:val="22"/>
              </w:rPr>
              <w:t xml:space="preserve">risks and issues </w:t>
            </w:r>
            <w:r w:rsidR="00696F09">
              <w:rPr>
                <w:rFonts w:asciiTheme="minorHAnsi" w:hAnsiTheme="minorHAnsi"/>
                <w:i/>
                <w:sz w:val="18"/>
                <w:szCs w:val="22"/>
              </w:rPr>
              <w:t xml:space="preserve">and </w:t>
            </w:r>
            <w:r w:rsidR="00605252">
              <w:rPr>
                <w:rFonts w:asciiTheme="minorHAnsi" w:hAnsiTheme="minorHAnsi"/>
                <w:i/>
                <w:sz w:val="18"/>
                <w:szCs w:val="22"/>
              </w:rPr>
              <w:t>their potential impacts on business outcomes</w:t>
            </w:r>
            <w:r w:rsidR="00DA4CC5">
              <w:rPr>
                <w:rFonts w:asciiTheme="minorHAnsi" w:hAnsiTheme="minorHAnsi"/>
                <w:i/>
                <w:sz w:val="18"/>
                <w:szCs w:val="22"/>
              </w:rPr>
              <w:t>.</w:t>
            </w:r>
          </w:p>
        </w:tc>
        <w:tc>
          <w:tcPr>
            <w:tcW w:w="708" w:type="dxa"/>
          </w:tcPr>
          <w:p w14:paraId="5240A44B" w14:textId="77777777" w:rsidR="008357E2" w:rsidRDefault="008357E2" w:rsidP="00603635"/>
        </w:tc>
        <w:tc>
          <w:tcPr>
            <w:tcW w:w="3509" w:type="dxa"/>
            <w:gridSpan w:val="2"/>
            <w:tcBorders>
              <w:right w:val="single" w:sz="12" w:space="0" w:color="1F546B" w:themeColor="text2"/>
            </w:tcBorders>
          </w:tcPr>
          <w:p w14:paraId="5240A44C" w14:textId="77777777" w:rsidR="008357E2" w:rsidRDefault="008357E2" w:rsidP="00603635"/>
        </w:tc>
      </w:tr>
      <w:tr w:rsidR="008357E2" w14:paraId="5240A456" w14:textId="77777777" w:rsidTr="00696F09">
        <w:tc>
          <w:tcPr>
            <w:tcW w:w="567" w:type="dxa"/>
            <w:tcBorders>
              <w:left w:val="single" w:sz="12" w:space="0" w:color="1F546B" w:themeColor="text2"/>
            </w:tcBorders>
          </w:tcPr>
          <w:p w14:paraId="5240A44E" w14:textId="77777777" w:rsidR="008357E2" w:rsidRDefault="00741290" w:rsidP="00603635">
            <w:r>
              <w:t>4</w:t>
            </w:r>
          </w:p>
        </w:tc>
        <w:tc>
          <w:tcPr>
            <w:tcW w:w="4395" w:type="dxa"/>
            <w:gridSpan w:val="2"/>
          </w:tcPr>
          <w:p w14:paraId="5240A44F" w14:textId="77777777" w:rsidR="007A06B4" w:rsidRPr="00DA4CC5" w:rsidRDefault="007A06B4" w:rsidP="00DA4CC5">
            <w:r w:rsidRPr="00DA4CC5">
              <w:t>Are report recommendations practical and</w:t>
            </w:r>
            <w:r w:rsidR="00DA4CC5">
              <w:t xml:space="preserve"> prioritised</w:t>
            </w:r>
            <w:r w:rsidRPr="00DA4CC5">
              <w:t>?</w:t>
            </w:r>
          </w:p>
          <w:p w14:paraId="5240A450" w14:textId="77777777" w:rsidR="007A06B4" w:rsidRDefault="007A06B4" w:rsidP="007A06B4">
            <w:pPr>
              <w:spacing w:before="20" w:after="20"/>
              <w:rPr>
                <w:rFonts w:asciiTheme="minorHAnsi" w:hAnsiTheme="minorHAnsi"/>
                <w:i/>
                <w:sz w:val="18"/>
                <w:szCs w:val="22"/>
              </w:rPr>
            </w:pPr>
            <w:r>
              <w:rPr>
                <w:rFonts w:asciiTheme="minorHAnsi" w:hAnsiTheme="minorHAnsi"/>
                <w:i/>
                <w:sz w:val="18"/>
                <w:szCs w:val="22"/>
              </w:rPr>
              <w:t>Consider whether:</w:t>
            </w:r>
          </w:p>
          <w:p w14:paraId="5240A451" w14:textId="77777777" w:rsidR="007A06B4" w:rsidRDefault="007A06B4" w:rsidP="00605252">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Recommendations are clear and link to findings.</w:t>
            </w:r>
          </w:p>
          <w:p w14:paraId="5240A452" w14:textId="36BDFC6A" w:rsidR="007A06B4" w:rsidRDefault="00DA4CC5" w:rsidP="00605252">
            <w:pPr>
              <w:pStyle w:val="ListParagraph"/>
              <w:numPr>
                <w:ilvl w:val="0"/>
                <w:numId w:val="28"/>
              </w:numPr>
              <w:spacing w:before="20" w:after="20"/>
              <w:rPr>
                <w:rFonts w:asciiTheme="minorHAnsi" w:hAnsiTheme="minorHAnsi"/>
                <w:i/>
                <w:sz w:val="18"/>
                <w:szCs w:val="22"/>
              </w:rPr>
            </w:pPr>
            <w:r>
              <w:rPr>
                <w:rFonts w:asciiTheme="minorHAnsi" w:hAnsiTheme="minorHAnsi"/>
                <w:i/>
                <w:sz w:val="18"/>
                <w:szCs w:val="22"/>
              </w:rPr>
              <w:t>Recommendations have been prioritised</w:t>
            </w:r>
            <w:r w:rsidR="00605252">
              <w:rPr>
                <w:rFonts w:asciiTheme="minorHAnsi" w:hAnsiTheme="minorHAnsi"/>
                <w:i/>
                <w:sz w:val="18"/>
                <w:szCs w:val="22"/>
              </w:rPr>
              <w:t>, including assigning owners</w:t>
            </w:r>
            <w:r>
              <w:rPr>
                <w:rFonts w:asciiTheme="minorHAnsi" w:hAnsiTheme="minorHAnsi"/>
                <w:i/>
                <w:sz w:val="18"/>
                <w:szCs w:val="22"/>
              </w:rPr>
              <w:t>.</w:t>
            </w:r>
          </w:p>
          <w:p w14:paraId="5240A453" w14:textId="77777777" w:rsidR="00400946" w:rsidRPr="00742A90" w:rsidRDefault="007A06B4" w:rsidP="00605252">
            <w:pPr>
              <w:pStyle w:val="ListParagraph"/>
              <w:numPr>
                <w:ilvl w:val="0"/>
                <w:numId w:val="28"/>
              </w:numPr>
              <w:spacing w:before="20" w:after="20"/>
              <w:rPr>
                <w:i/>
                <w:sz w:val="18"/>
              </w:rPr>
            </w:pPr>
            <w:r>
              <w:rPr>
                <w:rFonts w:asciiTheme="minorHAnsi" w:hAnsiTheme="minorHAnsi"/>
                <w:i/>
                <w:sz w:val="18"/>
                <w:szCs w:val="22"/>
              </w:rPr>
              <w:t>Recommendations have been assigned a suggested due date.</w:t>
            </w:r>
          </w:p>
        </w:tc>
        <w:tc>
          <w:tcPr>
            <w:tcW w:w="708" w:type="dxa"/>
          </w:tcPr>
          <w:p w14:paraId="5240A454" w14:textId="77777777" w:rsidR="008357E2" w:rsidRDefault="008357E2" w:rsidP="00603635"/>
        </w:tc>
        <w:tc>
          <w:tcPr>
            <w:tcW w:w="3509" w:type="dxa"/>
            <w:gridSpan w:val="2"/>
            <w:tcBorders>
              <w:right w:val="single" w:sz="12" w:space="0" w:color="1F546B" w:themeColor="text2"/>
            </w:tcBorders>
          </w:tcPr>
          <w:p w14:paraId="5240A455" w14:textId="77777777" w:rsidR="008357E2" w:rsidRDefault="008357E2" w:rsidP="00603635"/>
        </w:tc>
      </w:tr>
      <w:tr w:rsidR="0023522B" w14:paraId="5240A45C" w14:textId="77777777" w:rsidTr="00696F09">
        <w:tc>
          <w:tcPr>
            <w:tcW w:w="567" w:type="dxa"/>
            <w:tcBorders>
              <w:left w:val="single" w:sz="12" w:space="0" w:color="1F546B" w:themeColor="text2"/>
              <w:bottom w:val="single" w:sz="12" w:space="0" w:color="1F546B" w:themeColor="text2"/>
            </w:tcBorders>
          </w:tcPr>
          <w:p w14:paraId="5240A457" w14:textId="77777777" w:rsidR="0023522B" w:rsidRDefault="00DA4CC5" w:rsidP="00603635">
            <w:r>
              <w:t>5</w:t>
            </w:r>
          </w:p>
        </w:tc>
        <w:tc>
          <w:tcPr>
            <w:tcW w:w="4395" w:type="dxa"/>
            <w:gridSpan w:val="2"/>
            <w:tcBorders>
              <w:bottom w:val="single" w:sz="12" w:space="0" w:color="1F546B" w:themeColor="text2"/>
            </w:tcBorders>
          </w:tcPr>
          <w:p w14:paraId="5240A458" w14:textId="77777777" w:rsidR="007A06B4" w:rsidRPr="007F0032" w:rsidRDefault="007F0032" w:rsidP="007F0032">
            <w:r w:rsidRPr="007F0032">
              <w:t>Has the assurance report been approved at the appropriate level within the organisation</w:t>
            </w:r>
            <w:r w:rsidR="007A06B4" w:rsidRPr="007F0032">
              <w:t>?</w:t>
            </w:r>
          </w:p>
          <w:p w14:paraId="5240A459" w14:textId="7063BA71" w:rsidR="007F0032" w:rsidRPr="00F03743" w:rsidRDefault="00605252" w:rsidP="001910C1">
            <w:pPr>
              <w:rPr>
                <w:rFonts w:asciiTheme="minorHAnsi" w:hAnsiTheme="minorHAnsi"/>
                <w:i/>
                <w:sz w:val="18"/>
                <w:szCs w:val="22"/>
              </w:rPr>
            </w:pPr>
            <w:r w:rsidRPr="00605252">
              <w:rPr>
                <w:i/>
                <w:sz w:val="18"/>
              </w:rPr>
              <w:t xml:space="preserve">The </w:t>
            </w:r>
            <w:r>
              <w:rPr>
                <w:i/>
                <w:sz w:val="18"/>
              </w:rPr>
              <w:t>assurance report</w:t>
            </w:r>
            <w:r w:rsidRPr="00605252">
              <w:rPr>
                <w:i/>
                <w:sz w:val="18"/>
              </w:rPr>
              <w:t xml:space="preserve"> should be approved by the appropriate senior person sponsoring the review e.g. Chief Information Officer, relevant Business Owner or Head of Internal Audit</w:t>
            </w:r>
            <w:r>
              <w:rPr>
                <w:i/>
                <w:sz w:val="18"/>
              </w:rPr>
              <w:t>.</w:t>
            </w:r>
            <w:r w:rsidRPr="00605252">
              <w:rPr>
                <w:i/>
                <w:sz w:val="18"/>
              </w:rPr>
              <w:t xml:space="preserve"> </w:t>
            </w:r>
            <w:r>
              <w:rPr>
                <w:i/>
                <w:sz w:val="18"/>
              </w:rPr>
              <w:t xml:space="preserve"> </w:t>
            </w:r>
            <w:r w:rsidR="007F0032">
              <w:rPr>
                <w:i/>
                <w:sz w:val="18"/>
              </w:rPr>
              <w:t>The Lead Reviewer should also approve the final version of report</w:t>
            </w:r>
            <w:r>
              <w:rPr>
                <w:i/>
                <w:sz w:val="18"/>
              </w:rPr>
              <w:t>.</w:t>
            </w:r>
          </w:p>
        </w:tc>
        <w:tc>
          <w:tcPr>
            <w:tcW w:w="708" w:type="dxa"/>
            <w:tcBorders>
              <w:bottom w:val="single" w:sz="12" w:space="0" w:color="1F546B" w:themeColor="text2"/>
            </w:tcBorders>
          </w:tcPr>
          <w:p w14:paraId="5240A45A" w14:textId="77777777" w:rsidR="0023522B" w:rsidRDefault="0023522B" w:rsidP="00603635"/>
        </w:tc>
        <w:tc>
          <w:tcPr>
            <w:tcW w:w="3509" w:type="dxa"/>
            <w:gridSpan w:val="2"/>
            <w:tcBorders>
              <w:bottom w:val="single" w:sz="12" w:space="0" w:color="1F546B" w:themeColor="text2"/>
              <w:right w:val="single" w:sz="12" w:space="0" w:color="1F546B" w:themeColor="text2"/>
            </w:tcBorders>
          </w:tcPr>
          <w:p w14:paraId="5240A45B" w14:textId="55493746" w:rsidR="0023522B" w:rsidRDefault="0023522B" w:rsidP="00603635"/>
        </w:tc>
      </w:tr>
    </w:tbl>
    <w:p w14:paraId="5240A467" w14:textId="5381F895" w:rsidR="00AE478C" w:rsidRPr="00F03743" w:rsidRDefault="00AE478C" w:rsidP="00605252">
      <w:pPr>
        <w:tabs>
          <w:tab w:val="left" w:pos="1617"/>
        </w:tabs>
      </w:pPr>
      <w:bookmarkStart w:id="0" w:name="_GoBack"/>
      <w:bookmarkEnd w:id="0"/>
    </w:p>
    <w:sectPr w:rsidR="00AE478C" w:rsidRPr="00F03743" w:rsidSect="00E85DD3">
      <w:headerReference w:type="default" r:id="rId12"/>
      <w:footerReference w:type="default" r:id="rId13"/>
      <w:pgSz w:w="11907" w:h="16840" w:code="9"/>
      <w:pgMar w:top="1418" w:right="1418" w:bottom="992" w:left="1418" w:header="425"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5C07" w14:textId="77777777" w:rsidR="00CE2B15" w:rsidRDefault="00CE2B15">
      <w:r>
        <w:separator/>
      </w:r>
    </w:p>
    <w:p w14:paraId="521A53CE" w14:textId="77777777" w:rsidR="00CE2B15" w:rsidRDefault="00CE2B15"/>
    <w:p w14:paraId="570DE8D1" w14:textId="77777777" w:rsidR="00CE2B15" w:rsidRDefault="00CE2B15"/>
  </w:endnote>
  <w:endnote w:type="continuationSeparator" w:id="0">
    <w:p w14:paraId="3E7D5B5E" w14:textId="77777777" w:rsidR="00CE2B15" w:rsidRDefault="00CE2B15">
      <w:r>
        <w:continuationSeparator/>
      </w:r>
    </w:p>
    <w:p w14:paraId="6A26FAB7" w14:textId="77777777" w:rsidR="00CE2B15" w:rsidRDefault="00CE2B15"/>
    <w:p w14:paraId="746D28F3" w14:textId="77777777" w:rsidR="00CE2B15" w:rsidRDefault="00CE2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A476" w14:textId="77777777" w:rsidR="00E85DD3" w:rsidRPr="004065A0" w:rsidRDefault="00F03743" w:rsidP="00E85DD3">
    <w:pPr>
      <w:pStyle w:val="Footer"/>
      <w:tabs>
        <w:tab w:val="right" w:pos="9071"/>
      </w:tabs>
      <w:rPr>
        <w:iCs/>
        <w:color w:val="808080" w:themeColor="background1" w:themeShade="80"/>
        <w:spacing w:val="60"/>
        <w:sz w:val="16"/>
        <w:szCs w:val="16"/>
      </w:rPr>
    </w:pPr>
    <w:r w:rsidRPr="00280C98">
      <w:rPr>
        <w:iCs/>
        <w:color w:val="808080" w:themeColor="background1" w:themeShade="80"/>
        <w:spacing w:val="60"/>
        <w:sz w:val="16"/>
        <w:szCs w:val="16"/>
      </w:rPr>
      <w:t>Page</w:t>
    </w:r>
    <w:r w:rsidRPr="00280C98">
      <w:rPr>
        <w:iCs/>
        <w:color w:val="2C7178" w:themeColor="accent1" w:themeShade="80"/>
        <w:sz w:val="16"/>
        <w:szCs w:val="16"/>
      </w:rPr>
      <w:t>|</w:t>
    </w:r>
    <w:r w:rsidRPr="00280C98">
      <w:rPr>
        <w:b/>
        <w:bCs/>
        <w:iCs/>
        <w:color w:val="2C7178" w:themeColor="accent1" w:themeShade="80"/>
        <w:sz w:val="16"/>
        <w:szCs w:val="16"/>
      </w:rPr>
      <w:t xml:space="preserve"> </w:t>
    </w:r>
    <w:r w:rsidRPr="00280C98">
      <w:rPr>
        <w:iCs/>
        <w:color w:val="2C7178" w:themeColor="accent1" w:themeShade="80"/>
        <w:sz w:val="16"/>
        <w:szCs w:val="16"/>
      </w:rPr>
      <w:fldChar w:fldCharType="begin"/>
    </w:r>
    <w:r w:rsidRPr="00280C98">
      <w:rPr>
        <w:iCs/>
        <w:color w:val="2C7178" w:themeColor="accent1" w:themeShade="80"/>
        <w:sz w:val="16"/>
        <w:szCs w:val="16"/>
      </w:rPr>
      <w:instrText xml:space="preserve"> PAGE   \* MERGEFORMAT </w:instrText>
    </w:r>
    <w:r w:rsidRPr="00280C98">
      <w:rPr>
        <w:iCs/>
        <w:color w:val="2C7178" w:themeColor="accent1" w:themeShade="80"/>
        <w:sz w:val="16"/>
        <w:szCs w:val="16"/>
      </w:rPr>
      <w:fldChar w:fldCharType="separate"/>
    </w:r>
    <w:r w:rsidR="00842827" w:rsidRPr="00842827">
      <w:rPr>
        <w:b/>
        <w:bCs/>
        <w:iCs/>
        <w:noProof/>
        <w:color w:val="2C7178" w:themeColor="accent1" w:themeShade="80"/>
        <w:sz w:val="16"/>
        <w:szCs w:val="16"/>
      </w:rPr>
      <w:t>2</w:t>
    </w:r>
    <w:r w:rsidRPr="00280C98">
      <w:rPr>
        <w:b/>
        <w:bCs/>
        <w:iCs/>
        <w:noProof/>
        <w:color w:val="2C7178" w:themeColor="accent1" w:themeShade="80"/>
        <w:sz w:val="16"/>
        <w:szCs w:val="16"/>
      </w:rPr>
      <w:fldChar w:fldCharType="end"/>
    </w:r>
  </w:p>
  <w:p w14:paraId="5240A477" w14:textId="77777777" w:rsidR="00E85DD3" w:rsidRDefault="00E85DD3" w:rsidP="00E85DD3">
    <w:pPr>
      <w:pStyle w:val="Footer"/>
      <w:tabs>
        <w:tab w:val="right" w:pos="9071"/>
      </w:tabs>
      <w:jc w:val="right"/>
      <w:rPr>
        <w:iCs/>
        <w:color w:val="2C7178" w:themeColor="accent1" w:themeShade="80"/>
        <w:sz w:val="16"/>
        <w:szCs w:val="16"/>
      </w:rPr>
    </w:pPr>
  </w:p>
  <w:p w14:paraId="5240A478" w14:textId="77777777" w:rsidR="00E85DD3" w:rsidRPr="00125857" w:rsidRDefault="00E85DD3" w:rsidP="00E85DD3">
    <w:pPr>
      <w:pStyle w:val="Footer"/>
      <w:jc w:val="right"/>
      <w:rPr>
        <w:color w:val="2C7178" w:themeColor="accent1" w:themeShade="80"/>
        <w:sz w:val="12"/>
        <w:szCs w:val="12"/>
      </w:rPr>
    </w:pPr>
    <w:r w:rsidRPr="00125857">
      <w:rPr>
        <w:noProof/>
        <w:color w:val="2C7178" w:themeColor="accent1" w:themeShade="80"/>
        <w:sz w:val="12"/>
        <w:szCs w:val="12"/>
        <w:lang w:eastAsia="en-NZ"/>
      </w:rPr>
      <w:drawing>
        <wp:anchor distT="0" distB="0" distL="114300" distR="114300" simplePos="0" relativeHeight="251659264" behindDoc="1" locked="0" layoutInCell="1" allowOverlap="1" wp14:anchorId="5240A47D" wp14:editId="5240A47E">
          <wp:simplePos x="0" y="0"/>
          <wp:positionH relativeFrom="column">
            <wp:posOffset>3586480</wp:posOffset>
          </wp:positionH>
          <wp:positionV relativeFrom="paragraph">
            <wp:posOffset>-305435</wp:posOffset>
          </wp:positionV>
          <wp:extent cx="2164080" cy="399415"/>
          <wp:effectExtent l="0" t="0" r="7620" b="635"/>
          <wp:wrapTight wrapText="bothSides">
            <wp:wrapPolygon edited="0">
              <wp:start x="0" y="0"/>
              <wp:lineTo x="0" y="20604"/>
              <wp:lineTo x="21486" y="20604"/>
              <wp:lineTo x="21486" y="0"/>
              <wp:lineTo x="0" y="0"/>
            </wp:wrapPolygon>
          </wp:wrapTight>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3994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240A479" w14:textId="77777777" w:rsidR="00E85DD3" w:rsidRDefault="00E85DD3" w:rsidP="00E85DD3">
    <w:pPr>
      <w:pStyle w:val="Footer"/>
      <w:jc w:val="right"/>
      <w:rPr>
        <w:color w:val="1F546B" w:themeColor="text2"/>
        <w:sz w:val="16"/>
        <w:szCs w:val="16"/>
      </w:rPr>
    </w:pPr>
    <w:r w:rsidRPr="00D759A1">
      <w:rPr>
        <w:color w:val="1F546B" w:themeColor="text2"/>
        <w:sz w:val="16"/>
        <w:szCs w:val="16"/>
      </w:rPr>
      <w:t>Better information, better conversations, better decisions</w:t>
    </w:r>
  </w:p>
  <w:p w14:paraId="5240A47A" w14:textId="77777777" w:rsidR="008504D0" w:rsidRDefault="008504D0" w:rsidP="00126FDE">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3EB3" w14:textId="77777777" w:rsidR="00CE2B15" w:rsidRDefault="00CE2B15" w:rsidP="00FB1990">
      <w:pPr>
        <w:pStyle w:val="Spacer"/>
      </w:pPr>
      <w:r>
        <w:separator/>
      </w:r>
    </w:p>
    <w:p w14:paraId="59E54D2A" w14:textId="77777777" w:rsidR="00CE2B15" w:rsidRDefault="00CE2B15" w:rsidP="00FB1990">
      <w:pPr>
        <w:pStyle w:val="Spacer"/>
      </w:pPr>
    </w:p>
  </w:footnote>
  <w:footnote w:type="continuationSeparator" w:id="0">
    <w:p w14:paraId="1D8A528C" w14:textId="77777777" w:rsidR="00CE2B15" w:rsidRDefault="00CE2B15">
      <w:r>
        <w:continuationSeparator/>
      </w:r>
    </w:p>
    <w:p w14:paraId="5E8D74E3" w14:textId="77777777" w:rsidR="00CE2B15" w:rsidRDefault="00CE2B15"/>
    <w:p w14:paraId="73CA12DC" w14:textId="77777777" w:rsidR="00CE2B15" w:rsidRDefault="00CE2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A473" w14:textId="77777777" w:rsidR="008D5BC5" w:rsidRDefault="008D5BC5" w:rsidP="008D5BC5">
    <w:pPr>
      <w:pStyle w:val="Header"/>
      <w:tabs>
        <w:tab w:val="right" w:pos="9071"/>
      </w:tabs>
      <w:rPr>
        <w:b/>
        <w:sz w:val="18"/>
      </w:rPr>
    </w:pPr>
    <w:r>
      <w:rPr>
        <w:noProof/>
        <w:lang w:eastAsia="en-NZ"/>
      </w:rPr>
      <w:drawing>
        <wp:anchor distT="0" distB="0" distL="114300" distR="114300" simplePos="0" relativeHeight="251661824" behindDoc="1" locked="0" layoutInCell="1" allowOverlap="1" wp14:anchorId="5240A47B" wp14:editId="5240A47C">
          <wp:simplePos x="0" y="0"/>
          <wp:positionH relativeFrom="column">
            <wp:posOffset>4445</wp:posOffset>
          </wp:positionH>
          <wp:positionV relativeFrom="paragraph">
            <wp:posOffset>25400</wp:posOffset>
          </wp:positionV>
          <wp:extent cx="1698625" cy="205105"/>
          <wp:effectExtent l="0" t="0" r="0" b="4445"/>
          <wp:wrapTight wrapText="bothSides">
            <wp:wrapPolygon edited="0">
              <wp:start x="0" y="0"/>
              <wp:lineTo x="0" y="20062"/>
              <wp:lineTo x="11143" y="20062"/>
              <wp:lineTo x="21317" y="16050"/>
              <wp:lineTo x="21317" y="0"/>
              <wp:lineTo x="0" y="0"/>
            </wp:wrapPolygon>
          </wp:wrapTight>
          <wp:docPr id="13" name="Picture 12" descr="http://www.ssc.govt.nz/sites/all/files/All-of-govt_NZ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http://www.ssc.govt.nz/sites/all/files/All-of-govt_NZ_Gov.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20510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t xml:space="preserve">                                                                      </w:t>
    </w:r>
    <w:r w:rsidRPr="00F63ACE">
      <w:rPr>
        <w:b/>
        <w:sz w:val="18"/>
      </w:rPr>
      <w:t xml:space="preserve">Government Chief Digital Officer </w:t>
    </w:r>
  </w:p>
  <w:p w14:paraId="5240A474" w14:textId="77777777" w:rsidR="008D5BC5" w:rsidRDefault="008D5BC5" w:rsidP="008D5BC5">
    <w:pPr>
      <w:pStyle w:val="Header"/>
      <w:jc w:val="right"/>
    </w:pPr>
    <w:r w:rsidRPr="00F63ACE">
      <w:rPr>
        <w:b/>
        <w:sz w:val="18"/>
      </w:rPr>
      <w:t>System Assurance Team</w:t>
    </w:r>
  </w:p>
  <w:p w14:paraId="5240A475" w14:textId="19695BDC" w:rsidR="008357E2" w:rsidRPr="00591BDC" w:rsidRDefault="004F7278" w:rsidP="008357E2">
    <w:pPr>
      <w:pStyle w:val="Heading2"/>
    </w:pPr>
    <w:r>
      <w:t xml:space="preserve">ICT Ops </w:t>
    </w:r>
    <w:r w:rsidR="007A06B4">
      <w:t>Assurance Report</w:t>
    </w:r>
    <w:r w:rsidR="008357E2">
      <w:t xml:space="preserve"> Quality Review</w:t>
    </w:r>
    <w:r w:rsidR="00FB3149">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7C7BA4"/>
    <w:multiLevelType w:val="hybridMultilevel"/>
    <w:tmpl w:val="0D3CF7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637DE5"/>
    <w:multiLevelType w:val="hybridMultilevel"/>
    <w:tmpl w:val="30C2D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BB165C"/>
    <w:multiLevelType w:val="hybridMultilevel"/>
    <w:tmpl w:val="7D72FE06"/>
    <w:lvl w:ilvl="0" w:tplc="14090001">
      <w:start w:val="1"/>
      <w:numFmt w:val="bullet"/>
      <w:lvlText w:val=""/>
      <w:lvlJc w:val="left"/>
      <w:pPr>
        <w:ind w:left="720" w:hanging="360"/>
      </w:pPr>
      <w:rPr>
        <w:rFonts w:ascii="Symbol" w:hAnsi="Symbol" w:hint="default"/>
      </w:rPr>
    </w:lvl>
    <w:lvl w:ilvl="1" w:tplc="CCE03F88">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45588D"/>
    <w:multiLevelType w:val="hybridMultilevel"/>
    <w:tmpl w:val="BCFA3F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15:restartNumberingAfterBreak="0">
    <w:nsid w:val="7FDA19E7"/>
    <w:multiLevelType w:val="hybridMultilevel"/>
    <w:tmpl w:val="CD5A78C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1"/>
  </w:num>
  <w:num w:numId="9">
    <w:abstractNumId w:val="16"/>
  </w:num>
  <w:num w:numId="10">
    <w:abstractNumId w:val="10"/>
  </w:num>
  <w:num w:numId="11">
    <w:abstractNumId w:val="22"/>
  </w:num>
  <w:num w:numId="12">
    <w:abstractNumId w:val="24"/>
  </w:num>
  <w:num w:numId="13">
    <w:abstractNumId w:val="26"/>
  </w:num>
  <w:num w:numId="14">
    <w:abstractNumId w:val="7"/>
  </w:num>
  <w:num w:numId="15">
    <w:abstractNumId w:val="14"/>
  </w:num>
  <w:num w:numId="16">
    <w:abstractNumId w:val="27"/>
  </w:num>
  <w:num w:numId="17">
    <w:abstractNumId w:val="25"/>
  </w:num>
  <w:num w:numId="18">
    <w:abstractNumId w:val="23"/>
  </w:num>
  <w:num w:numId="19">
    <w:abstractNumId w:val="18"/>
  </w:num>
  <w:num w:numId="20">
    <w:abstractNumId w:val="15"/>
  </w:num>
  <w:num w:numId="21">
    <w:abstractNumId w:val="9"/>
  </w:num>
  <w:num w:numId="22">
    <w:abstractNumId w:val="6"/>
  </w:num>
  <w:num w:numId="23">
    <w:abstractNumId w:val="11"/>
  </w:num>
  <w:num w:numId="24">
    <w:abstractNumId w:val="8"/>
  </w:num>
  <w:num w:numId="25">
    <w:abstractNumId w:val="28"/>
  </w:num>
  <w:num w:numId="26">
    <w:abstractNumId w:val="20"/>
  </w:num>
  <w:num w:numId="27">
    <w:abstractNumId w:val="17"/>
  </w:num>
  <w:num w:numId="28">
    <w:abstractNumId w:val="13"/>
  </w:num>
  <w:num w:numId="29">
    <w:abstractNumId w:val="25"/>
  </w:num>
  <w:num w:numId="30">
    <w:abstractNumId w:val="25"/>
  </w:num>
  <w:num w:numId="31">
    <w:abstractNumId w:val="1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 w:numId="35">
    <w:abstractNumId w:val="25"/>
  </w:num>
  <w:num w:numId="36">
    <w:abstractNumId w:val="25"/>
  </w:num>
  <w:num w:numId="37">
    <w:abstractNumId w:val="12"/>
  </w:num>
  <w:num w:numId="38">
    <w:abstractNumId w:val="25"/>
  </w:num>
  <w:num w:numId="39">
    <w:abstractNumId w:val="25"/>
  </w:num>
  <w:num w:numId="40">
    <w:abstractNumId w:val="25"/>
  </w:num>
  <w:num w:numId="4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7E2"/>
    <w:rsid w:val="00003360"/>
    <w:rsid w:val="00003FC7"/>
    <w:rsid w:val="00005919"/>
    <w:rsid w:val="00007C42"/>
    <w:rsid w:val="00015020"/>
    <w:rsid w:val="00015089"/>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11152"/>
    <w:rsid w:val="00121870"/>
    <w:rsid w:val="00125715"/>
    <w:rsid w:val="00126FDE"/>
    <w:rsid w:val="0013703F"/>
    <w:rsid w:val="00140ED2"/>
    <w:rsid w:val="00143E7C"/>
    <w:rsid w:val="0014415C"/>
    <w:rsid w:val="0014565E"/>
    <w:rsid w:val="001536C9"/>
    <w:rsid w:val="0016433D"/>
    <w:rsid w:val="00184C0F"/>
    <w:rsid w:val="00187C5E"/>
    <w:rsid w:val="001910C1"/>
    <w:rsid w:val="001A5BE3"/>
    <w:rsid w:val="001A5F55"/>
    <w:rsid w:val="001C0031"/>
    <w:rsid w:val="001C0C30"/>
    <w:rsid w:val="001D0111"/>
    <w:rsid w:val="001D7EAE"/>
    <w:rsid w:val="001E64FC"/>
    <w:rsid w:val="001F0724"/>
    <w:rsid w:val="002007DF"/>
    <w:rsid w:val="00205FE8"/>
    <w:rsid w:val="00206BA3"/>
    <w:rsid w:val="00215160"/>
    <w:rsid w:val="002224B4"/>
    <w:rsid w:val="00226D5E"/>
    <w:rsid w:val="0023522B"/>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F2131"/>
    <w:rsid w:val="0030084C"/>
    <w:rsid w:val="003039E1"/>
    <w:rsid w:val="003129BA"/>
    <w:rsid w:val="00312C77"/>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0946"/>
    <w:rsid w:val="00401CA0"/>
    <w:rsid w:val="0040700B"/>
    <w:rsid w:val="00407F54"/>
    <w:rsid w:val="00411341"/>
    <w:rsid w:val="00413966"/>
    <w:rsid w:val="00415015"/>
    <w:rsid w:val="00415CDB"/>
    <w:rsid w:val="004231DC"/>
    <w:rsid w:val="0042551E"/>
    <w:rsid w:val="00433AD8"/>
    <w:rsid w:val="00437A53"/>
    <w:rsid w:val="004552A0"/>
    <w:rsid w:val="00456859"/>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4F7278"/>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C0C0E"/>
    <w:rsid w:val="005D3066"/>
    <w:rsid w:val="005E4B13"/>
    <w:rsid w:val="005E4C02"/>
    <w:rsid w:val="005F01DF"/>
    <w:rsid w:val="005F76CC"/>
    <w:rsid w:val="005F7FF8"/>
    <w:rsid w:val="006004C4"/>
    <w:rsid w:val="00600CA4"/>
    <w:rsid w:val="00602416"/>
    <w:rsid w:val="006025CE"/>
    <w:rsid w:val="00603635"/>
    <w:rsid w:val="006041F2"/>
    <w:rsid w:val="00605252"/>
    <w:rsid w:val="006064F5"/>
    <w:rsid w:val="00617298"/>
    <w:rsid w:val="00637753"/>
    <w:rsid w:val="00660CE4"/>
    <w:rsid w:val="00662716"/>
    <w:rsid w:val="00676C9F"/>
    <w:rsid w:val="00677B13"/>
    <w:rsid w:val="00677F4E"/>
    <w:rsid w:val="00677F8A"/>
    <w:rsid w:val="00681A08"/>
    <w:rsid w:val="00685ECF"/>
    <w:rsid w:val="00686510"/>
    <w:rsid w:val="006875B8"/>
    <w:rsid w:val="00687CEA"/>
    <w:rsid w:val="00694E01"/>
    <w:rsid w:val="00695171"/>
    <w:rsid w:val="00695B75"/>
    <w:rsid w:val="00696F09"/>
    <w:rsid w:val="006A1A95"/>
    <w:rsid w:val="006A38B7"/>
    <w:rsid w:val="006A5C31"/>
    <w:rsid w:val="006B1CB2"/>
    <w:rsid w:val="006B1DD1"/>
    <w:rsid w:val="006B3396"/>
    <w:rsid w:val="006B4FE7"/>
    <w:rsid w:val="006B728B"/>
    <w:rsid w:val="006C195E"/>
    <w:rsid w:val="006D638F"/>
    <w:rsid w:val="006D7384"/>
    <w:rsid w:val="006E7BF7"/>
    <w:rsid w:val="00702F2C"/>
    <w:rsid w:val="007068C8"/>
    <w:rsid w:val="00715B8F"/>
    <w:rsid w:val="0073106E"/>
    <w:rsid w:val="00741290"/>
    <w:rsid w:val="00742A90"/>
    <w:rsid w:val="00755142"/>
    <w:rsid w:val="00756BB7"/>
    <w:rsid w:val="0075764B"/>
    <w:rsid w:val="00760C01"/>
    <w:rsid w:val="00761293"/>
    <w:rsid w:val="00767C04"/>
    <w:rsid w:val="007736A2"/>
    <w:rsid w:val="00780AD1"/>
    <w:rsid w:val="007A06B4"/>
    <w:rsid w:val="007A6226"/>
    <w:rsid w:val="007B3C61"/>
    <w:rsid w:val="007D1918"/>
    <w:rsid w:val="007F0032"/>
    <w:rsid w:val="007F03F2"/>
    <w:rsid w:val="008031DF"/>
    <w:rsid w:val="008065D7"/>
    <w:rsid w:val="008111A3"/>
    <w:rsid w:val="00816E30"/>
    <w:rsid w:val="0082264B"/>
    <w:rsid w:val="0082765B"/>
    <w:rsid w:val="00832D9E"/>
    <w:rsid w:val="008352B1"/>
    <w:rsid w:val="008353E7"/>
    <w:rsid w:val="008357E2"/>
    <w:rsid w:val="00835BD7"/>
    <w:rsid w:val="00842827"/>
    <w:rsid w:val="008428E8"/>
    <w:rsid w:val="00843D71"/>
    <w:rsid w:val="00846F11"/>
    <w:rsid w:val="0084745A"/>
    <w:rsid w:val="008504D0"/>
    <w:rsid w:val="00860026"/>
    <w:rsid w:val="00870045"/>
    <w:rsid w:val="00876E5F"/>
    <w:rsid w:val="00884A12"/>
    <w:rsid w:val="00890CE4"/>
    <w:rsid w:val="00891ED7"/>
    <w:rsid w:val="008B7B54"/>
    <w:rsid w:val="008C3187"/>
    <w:rsid w:val="008C5E4F"/>
    <w:rsid w:val="008D5BC5"/>
    <w:rsid w:val="008D63B7"/>
    <w:rsid w:val="008D6A03"/>
    <w:rsid w:val="008D6CA7"/>
    <w:rsid w:val="008E508C"/>
    <w:rsid w:val="008E7FEE"/>
    <w:rsid w:val="008F2F06"/>
    <w:rsid w:val="008F31F5"/>
    <w:rsid w:val="008F4209"/>
    <w:rsid w:val="008F67F5"/>
    <w:rsid w:val="008F6BCE"/>
    <w:rsid w:val="00900D4B"/>
    <w:rsid w:val="00905F9B"/>
    <w:rsid w:val="00913E95"/>
    <w:rsid w:val="009170B9"/>
    <w:rsid w:val="00923A87"/>
    <w:rsid w:val="00927482"/>
    <w:rsid w:val="00936FF5"/>
    <w:rsid w:val="0094654B"/>
    <w:rsid w:val="0095112B"/>
    <w:rsid w:val="0095712A"/>
    <w:rsid w:val="00963C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B45D2"/>
    <w:rsid w:val="00CD502A"/>
    <w:rsid w:val="00CE2B15"/>
    <w:rsid w:val="00CF12CF"/>
    <w:rsid w:val="00CF4BE3"/>
    <w:rsid w:val="00D060D2"/>
    <w:rsid w:val="00D12193"/>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4CC5"/>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5DD3"/>
    <w:rsid w:val="00E86D2A"/>
    <w:rsid w:val="00E8711A"/>
    <w:rsid w:val="00EA2ED4"/>
    <w:rsid w:val="00EA491A"/>
    <w:rsid w:val="00EB1583"/>
    <w:rsid w:val="00EB54A9"/>
    <w:rsid w:val="00EC03F7"/>
    <w:rsid w:val="00EC23FB"/>
    <w:rsid w:val="00EC6F9E"/>
    <w:rsid w:val="00EC7017"/>
    <w:rsid w:val="00ED4356"/>
    <w:rsid w:val="00ED7681"/>
    <w:rsid w:val="00EE243C"/>
    <w:rsid w:val="00EE6B3E"/>
    <w:rsid w:val="00EF63C6"/>
    <w:rsid w:val="00F034FB"/>
    <w:rsid w:val="00F03743"/>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3149"/>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0A420"/>
  <w15:docId w15:val="{477EC704-3631-46F9-B92A-DB94DC8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5574">
      <w:bodyDiv w:val="1"/>
      <w:marLeft w:val="0"/>
      <w:marRight w:val="0"/>
      <w:marTop w:val="0"/>
      <w:marBottom w:val="0"/>
      <w:divBdr>
        <w:top w:val="none" w:sz="0" w:space="0" w:color="auto"/>
        <w:left w:val="none" w:sz="0" w:space="0" w:color="auto"/>
        <w:bottom w:val="none" w:sz="0" w:space="0" w:color="auto"/>
        <w:right w:val="none" w:sz="0" w:space="0" w:color="auto"/>
      </w:divBdr>
    </w:div>
    <w:div w:id="262423323">
      <w:bodyDiv w:val="1"/>
      <w:marLeft w:val="0"/>
      <w:marRight w:val="0"/>
      <w:marTop w:val="0"/>
      <w:marBottom w:val="0"/>
      <w:divBdr>
        <w:top w:val="none" w:sz="0" w:space="0" w:color="auto"/>
        <w:left w:val="none" w:sz="0" w:space="0" w:color="auto"/>
        <w:bottom w:val="none" w:sz="0" w:space="0" w:color="auto"/>
        <w:right w:val="none" w:sz="0" w:space="0" w:color="auto"/>
      </w:divBdr>
    </w:div>
    <w:div w:id="333724243">
      <w:bodyDiv w:val="1"/>
      <w:marLeft w:val="0"/>
      <w:marRight w:val="0"/>
      <w:marTop w:val="0"/>
      <w:marBottom w:val="0"/>
      <w:divBdr>
        <w:top w:val="none" w:sz="0" w:space="0" w:color="auto"/>
        <w:left w:val="none" w:sz="0" w:space="0" w:color="auto"/>
        <w:bottom w:val="none" w:sz="0" w:space="0" w:color="auto"/>
        <w:right w:val="none" w:sz="0" w:space="0" w:color="auto"/>
      </w:divBdr>
    </w:div>
    <w:div w:id="358941755">
      <w:bodyDiv w:val="1"/>
      <w:marLeft w:val="0"/>
      <w:marRight w:val="0"/>
      <w:marTop w:val="0"/>
      <w:marBottom w:val="0"/>
      <w:divBdr>
        <w:top w:val="none" w:sz="0" w:space="0" w:color="auto"/>
        <w:left w:val="none" w:sz="0" w:space="0" w:color="auto"/>
        <w:bottom w:val="none" w:sz="0" w:space="0" w:color="auto"/>
        <w:right w:val="none" w:sz="0" w:space="0" w:color="auto"/>
      </w:divBdr>
    </w:div>
    <w:div w:id="418671573">
      <w:bodyDiv w:val="1"/>
      <w:marLeft w:val="0"/>
      <w:marRight w:val="0"/>
      <w:marTop w:val="0"/>
      <w:marBottom w:val="0"/>
      <w:divBdr>
        <w:top w:val="none" w:sz="0" w:space="0" w:color="auto"/>
        <w:left w:val="none" w:sz="0" w:space="0" w:color="auto"/>
        <w:bottom w:val="none" w:sz="0" w:space="0" w:color="auto"/>
        <w:right w:val="none" w:sz="0" w:space="0" w:color="auto"/>
      </w:divBdr>
    </w:div>
    <w:div w:id="443891133">
      <w:bodyDiv w:val="1"/>
      <w:marLeft w:val="0"/>
      <w:marRight w:val="0"/>
      <w:marTop w:val="0"/>
      <w:marBottom w:val="0"/>
      <w:divBdr>
        <w:top w:val="none" w:sz="0" w:space="0" w:color="auto"/>
        <w:left w:val="none" w:sz="0" w:space="0" w:color="auto"/>
        <w:bottom w:val="none" w:sz="0" w:space="0" w:color="auto"/>
        <w:right w:val="none" w:sz="0" w:space="0" w:color="auto"/>
      </w:divBdr>
    </w:div>
    <w:div w:id="659499602">
      <w:bodyDiv w:val="1"/>
      <w:marLeft w:val="0"/>
      <w:marRight w:val="0"/>
      <w:marTop w:val="0"/>
      <w:marBottom w:val="0"/>
      <w:divBdr>
        <w:top w:val="none" w:sz="0" w:space="0" w:color="auto"/>
        <w:left w:val="none" w:sz="0" w:space="0" w:color="auto"/>
        <w:bottom w:val="none" w:sz="0" w:space="0" w:color="auto"/>
        <w:right w:val="none" w:sz="0" w:space="0" w:color="auto"/>
      </w:divBdr>
    </w:div>
    <w:div w:id="858734760">
      <w:bodyDiv w:val="1"/>
      <w:marLeft w:val="0"/>
      <w:marRight w:val="0"/>
      <w:marTop w:val="0"/>
      <w:marBottom w:val="0"/>
      <w:divBdr>
        <w:top w:val="none" w:sz="0" w:space="0" w:color="auto"/>
        <w:left w:val="none" w:sz="0" w:space="0" w:color="auto"/>
        <w:bottom w:val="none" w:sz="0" w:space="0" w:color="auto"/>
        <w:right w:val="none" w:sz="0" w:space="0" w:color="auto"/>
      </w:divBdr>
    </w:div>
    <w:div w:id="954289668">
      <w:bodyDiv w:val="1"/>
      <w:marLeft w:val="0"/>
      <w:marRight w:val="0"/>
      <w:marTop w:val="0"/>
      <w:marBottom w:val="0"/>
      <w:divBdr>
        <w:top w:val="none" w:sz="0" w:space="0" w:color="auto"/>
        <w:left w:val="none" w:sz="0" w:space="0" w:color="auto"/>
        <w:bottom w:val="none" w:sz="0" w:space="0" w:color="auto"/>
        <w:right w:val="none" w:sz="0" w:space="0" w:color="auto"/>
      </w:divBdr>
    </w:div>
    <w:div w:id="2087528900">
      <w:bodyDiv w:val="1"/>
      <w:marLeft w:val="0"/>
      <w:marRight w:val="0"/>
      <w:marTop w:val="0"/>
      <w:marBottom w:val="0"/>
      <w:divBdr>
        <w:top w:val="none" w:sz="0" w:space="0" w:color="auto"/>
        <w:left w:val="none" w:sz="0" w:space="0" w:color="auto"/>
        <w:bottom w:val="none" w:sz="0" w:space="0" w:color="auto"/>
        <w:right w:val="none" w:sz="0" w:space="0" w:color="auto"/>
      </w:divBdr>
    </w:div>
    <w:div w:id="21293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ation Document DIA" ma:contentTypeID="0x0101005496552013C0BA46BE88192D5C6EB20B003DDD062A623B6F409020537D80D7AB900053650184CF609B4982B421970914A5D7" ma:contentTypeVersion="5" ma:contentTypeDescription="Publications created for both internal and external use including Corporate publications such as Statement of Intent and Annual Report. Also use for electronic publications such as website content or social media content" ma:contentTypeScope="" ma:versionID="213efdb8086962a6513d1ae9a5b5e547">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112d945f2dba2f53aa50667717f42f2e"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956127f45c94366abe68c8e13c429f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86e80f82-773b-44d2-ab1b-55fd8d1b19c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956127f45c94366abe68c8e13c429f4" ma:index="14" nillable="true" ma:taxonomy="true" ma:internalName="g956127f45c94366abe68c8e13c429f4" ma:taxonomyFieldName="DIAPublicationType" ma:displayName="Publication Type" ma:fieldId="{0956127f-45c9-4366-abe6-8c8e13c429f4}" ma:sspId="caf61cd4-0327-4679-8f8a-6e41773e81e7" ma:termSetId="19998514-4cd2-4ea4-b2a4-2b37153fcb8c"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Web document</TermName>
          <TermId xmlns="http://schemas.microsoft.com/office/infopath/2007/PartnerControls">a00233a9-ac4a-48a3-839e-1dc58aa92734</TermId>
        </TermInfo>
      </Terms>
    </C3TopicNote>
    <TaxKeywordTaxHTField xmlns="4f774fce-6c9c-466c-a65d-23bece2386af">
      <Terms xmlns="http://schemas.microsoft.com/office/infopath/2007/PartnerControls"/>
    </TaxKeywordTaxHTField>
    <TaxCatchAll xmlns="4f774fce-6c9c-466c-a65d-23bece2386af">
      <Value>3000</Value>
      <Value>3</Value>
      <Value>2</Value>
      <Value>190</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4UAZY7VS6QRJ-1105136917-280</_dlc_DocId>
    <_dlc_DocIdUrl xmlns="4f774fce-6c9c-466c-a65d-23bece2386af">
      <Url>https://dia.cohesion.net.nz/Sites/GCIO/AOA/_layouts/15/DocIdRedir.aspx?ID=4UAZY7VS6QRJ-1105136917-280</Url>
      <Description>4UAZY7VS6QRJ-1105136917-280</Description>
    </_dlc_DocIdUrl>
    <g956127f45c94366abe68c8e13c429f4 xmlns="4f774fce-6c9c-466c-a65d-23bece2386af">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2937b413-4660-4ce2-8df0-451e44d9fa3b</TermId>
        </TermInfo>
      </Terms>
    </g956127f45c94366abe68c8e13c429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2D64-B95D-4120-9D8F-3C0C104D2DCB}"/>
</file>

<file path=customXml/itemProps2.xml><?xml version="1.0" encoding="utf-8"?>
<ds:datastoreItem xmlns:ds="http://schemas.openxmlformats.org/officeDocument/2006/customXml" ds:itemID="{450A807E-DAE0-4F73-A413-07B478C628A0}"/>
</file>

<file path=customXml/itemProps3.xml><?xml version="1.0" encoding="utf-8"?>
<ds:datastoreItem xmlns:ds="http://schemas.openxmlformats.org/officeDocument/2006/customXml" ds:itemID="{63EC6B86-532F-4A9F-A804-2C1D2D6F7CAE}"/>
</file>

<file path=customXml/itemProps4.xml><?xml version="1.0" encoding="utf-8"?>
<ds:datastoreItem xmlns:ds="http://schemas.openxmlformats.org/officeDocument/2006/customXml" ds:itemID="{FDB6C6B5-9E3F-493F-93C4-485EDDDAD449}"/>
</file>

<file path=customXml/itemProps5.xml><?xml version="1.0" encoding="utf-8"?>
<ds:datastoreItem xmlns:ds="http://schemas.openxmlformats.org/officeDocument/2006/customXml" ds:itemID="{3A75269B-3574-45C2-A52E-A4E98615B9E6}"/>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PPP Assurance Report Quality Review Checklist (Revised)</vt:lpstr>
    </vt:vector>
  </TitlesOfParts>
  <Company>NZ Government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Linskill</dc:creator>
  <cp:keywords/>
  <cp:lastModifiedBy>Claire Linskill</cp:lastModifiedBy>
  <cp:revision>4</cp:revision>
  <cp:lastPrinted>2019-05-22T20:56:00Z</cp:lastPrinted>
  <dcterms:created xsi:type="dcterms:W3CDTF">2019-05-23T03:11:00Z</dcterms:created>
  <dcterms:modified xsi:type="dcterms:W3CDTF">2019-06-04T20:45:00Z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0x0101005496552013C0BA46BE88192D5C6EB20B003DDD062A623B6F409020537D80D7AB900053650184CF609B4982B421970914A5D7</vt:lpwstr>
  </property>
  <property fmtid="{D5CDD505-2E9C-101B-9397-08002B2CF9AE}" pid="3" name="ncc9d04dce814765bf3dd7c3f44c6226">
    <vt:lpwstr>Correspondence|dcd6b05f-dc80-4336-b228-09aebf3d212c</vt:lpwstr>
  </property>
  <property fmtid="{D5CDD505-2E9C-101B-9397-08002B2CF9AE}" pid="4" name="_dlc_DocIdItemGuid">
    <vt:lpwstr>a5e1ad50-7255-4dfe-a992-946605af64c0</vt:lpwstr>
  </property>
  <property fmtid="{D5CDD505-2E9C-101B-9397-08002B2CF9AE}" pid="5" name="DIAPolicyorProcedureType">
    <vt:lpwstr/>
  </property>
  <property fmtid="{D5CDD505-2E9C-101B-9397-08002B2CF9AE}" pid="6" name="TaxKeyword">
    <vt:lpwstr/>
  </property>
  <property fmtid="{D5CDD505-2E9C-101B-9397-08002B2CF9AE}" pid="7" name="DIAPublicationType">
    <vt:lpwstr>190;#Guide|2937b413-4660-4ce2-8df0-451e44d9fa3b</vt:lpwstr>
  </property>
  <property fmtid="{D5CDD505-2E9C-101B-9397-08002B2CF9AE}" pid="8" name="o989dca3f8824a58a3aa0ed2c8cb88da">
    <vt:lpwstr/>
  </property>
  <property fmtid="{D5CDD505-2E9C-101B-9397-08002B2CF9AE}" pid="9" name="e14111ef203c430d8ee3d13a72224eca">
    <vt:lpwstr/>
  </property>
  <property fmtid="{D5CDD505-2E9C-101B-9397-08002B2CF9AE}" pid="10" name="DIAPlanningDocumentType">
    <vt:lpwstr/>
  </property>
  <property fmtid="{D5CDD505-2E9C-101B-9397-08002B2CF9AE}" pid="11" name="C3Topic">
    <vt:lpwstr>3000;#Web document|a00233a9-ac4a-48a3-839e-1dc58aa92734</vt:lpwstr>
  </property>
  <property fmtid="{D5CDD505-2E9C-101B-9397-08002B2CF9AE}" pid="12" name="ga013ac1af39454fb98419a80b401e0c">
    <vt:lpwstr/>
  </property>
  <property fmtid="{D5CDD505-2E9C-101B-9397-08002B2CF9AE}" pid="13" name="DIASecurityClassification">
    <vt:lpwstr>2;#UNCLASSIFIED|875d92a8-67e2-4a32-9472-8fe99549e1eb</vt:lpwstr>
  </property>
  <property fmtid="{D5CDD505-2E9C-101B-9397-08002B2CF9AE}" pid="14" name="DIAEmailContentType">
    <vt:lpwstr>3;#Correspondence|dcd6b05f-dc80-4336-b228-09aebf3d212c</vt:lpwstr>
  </property>
  <property fmtid="{D5CDD505-2E9C-101B-9397-08002B2CF9AE}" pid="15" name="DIAMeetingDocumentType">
    <vt:lpwstr/>
  </property>
  <property fmtid="{D5CDD505-2E9C-101B-9397-08002B2CF9AE}" pid="16" name="g956127f45c94366abe68c8e13c429f4">
    <vt:lpwstr/>
  </property>
  <property fmtid="{D5CDD505-2E9C-101B-9397-08002B2CF9AE}" pid="17" name="SharedWithUsers">
    <vt:lpwstr>2053;#Felix Jalleh</vt:lpwstr>
  </property>
</Properties>
</file>