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sz w:val="72"/>
          <w:szCs w:val="72"/>
        </w:rPr>
        <w:id w:val="1440030772"/>
        <w:docPartObj>
          <w:docPartGallery w:val="Cover Pages"/>
          <w:docPartUnique/>
        </w:docPartObj>
      </w:sdtPr>
      <w:sdtEndPr>
        <w:rPr>
          <w:rFonts w:ascii="Arial" w:eastAsia="Times New Roman" w:hAnsi="Arial" w:cs="Arial"/>
          <w:sz w:val="52"/>
          <w:szCs w:val="52"/>
          <w:lang w:eastAsia="en-GB"/>
        </w:rPr>
      </w:sdtEndPr>
      <w:sdtContent>
        <w:p w14:paraId="6992273E" w14:textId="77777777" w:rsidR="00341B15" w:rsidRDefault="00341B15" w:rsidP="00A97164">
          <w:pPr>
            <w:pStyle w:val="NoSpacing"/>
            <w:tabs>
              <w:tab w:val="left" w:pos="8883"/>
              <w:tab w:val="left" w:pos="9781"/>
              <w:tab w:val="left" w:pos="9923"/>
            </w:tabs>
            <w:spacing w:before="480"/>
            <w:ind w:right="686"/>
            <w:jc w:val="right"/>
            <w:rPr>
              <w:rFonts w:asciiTheme="majorHAnsi" w:eastAsiaTheme="majorEastAsia" w:hAnsiTheme="majorHAnsi" w:cstheme="majorBidi"/>
              <w:sz w:val="72"/>
              <w:szCs w:val="72"/>
            </w:rPr>
          </w:pPr>
        </w:p>
        <w:p w14:paraId="691E2FBF" w14:textId="1B6E17C2" w:rsidR="00AB53FA" w:rsidRPr="00A97164" w:rsidRDefault="00AB53FA" w:rsidP="00A97164">
          <w:pPr>
            <w:pStyle w:val="NoSpacing"/>
            <w:tabs>
              <w:tab w:val="left" w:pos="8883"/>
              <w:tab w:val="left" w:pos="9781"/>
              <w:tab w:val="left" w:pos="9923"/>
            </w:tabs>
            <w:spacing w:before="480"/>
            <w:ind w:right="686"/>
            <w:jc w:val="right"/>
            <w:rPr>
              <w:rStyle w:val="Heading1Char"/>
              <w:sz w:val="68"/>
              <w:szCs w:val="68"/>
            </w:rPr>
          </w:pPr>
          <w:r w:rsidRPr="00A97164">
            <w:rPr>
              <w:rStyle w:val="Heading1Char"/>
              <w:sz w:val="68"/>
              <w:szCs w:val="68"/>
            </w:rPr>
            <w:t>Government</w:t>
          </w:r>
          <w:r w:rsidR="00A97164" w:rsidRPr="00A97164">
            <w:rPr>
              <w:rStyle w:val="Heading1Char"/>
              <w:sz w:val="68"/>
              <w:szCs w:val="68"/>
            </w:rPr>
            <w:t xml:space="preserve"> </w:t>
          </w:r>
          <w:r w:rsidRPr="00A97164">
            <w:rPr>
              <w:rStyle w:val="Heading1Char"/>
              <w:sz w:val="68"/>
              <w:szCs w:val="68"/>
            </w:rPr>
            <w:t>Chief</w:t>
          </w:r>
          <w:r w:rsidR="00A97164" w:rsidRPr="00A97164">
            <w:rPr>
              <w:rStyle w:val="Heading1Char"/>
              <w:sz w:val="68"/>
              <w:szCs w:val="68"/>
            </w:rPr>
            <w:t xml:space="preserve"> Privacy Officer </w:t>
          </w:r>
        </w:p>
        <w:p w14:paraId="461A985D" w14:textId="77777777" w:rsidR="00A97164" w:rsidRDefault="00A97164" w:rsidP="00A97164">
          <w:pPr>
            <w:pStyle w:val="NoSpacing"/>
            <w:tabs>
              <w:tab w:val="left" w:pos="8883"/>
              <w:tab w:val="left" w:pos="9781"/>
              <w:tab w:val="left" w:pos="9923"/>
            </w:tabs>
            <w:spacing w:before="480"/>
            <w:ind w:right="686"/>
            <w:rPr>
              <w:rFonts w:eastAsiaTheme="majorEastAsia" w:cstheme="majorBidi"/>
              <w:sz w:val="52"/>
              <w:szCs w:val="52"/>
            </w:rPr>
          </w:pPr>
        </w:p>
        <w:p w14:paraId="055409CC" w14:textId="77777777" w:rsidR="00E507B2" w:rsidRDefault="00E507B2" w:rsidP="00AB53FA">
          <w:pPr>
            <w:pStyle w:val="NoSpacing"/>
            <w:tabs>
              <w:tab w:val="left" w:pos="9781"/>
            </w:tabs>
            <w:ind w:right="686"/>
            <w:jc w:val="right"/>
            <w:rPr>
              <w:rFonts w:eastAsiaTheme="majorEastAsia" w:cstheme="majorBidi"/>
              <w:b/>
              <w:color w:val="1F546B"/>
              <w:sz w:val="52"/>
              <w:szCs w:val="52"/>
            </w:rPr>
          </w:pPr>
          <w:r>
            <w:rPr>
              <w:rFonts w:eastAsiaTheme="majorEastAsia" w:cstheme="majorBidi"/>
              <w:b/>
              <w:color w:val="1F546B"/>
              <w:sz w:val="52"/>
              <w:szCs w:val="52"/>
            </w:rPr>
            <w:t>Privacy Maturity</w:t>
          </w:r>
          <w:r w:rsidR="00AB53FA" w:rsidRPr="000171F1">
            <w:rPr>
              <w:rFonts w:eastAsiaTheme="majorEastAsia" w:cstheme="majorBidi"/>
              <w:b/>
              <w:color w:val="1F546B"/>
              <w:sz w:val="52"/>
              <w:szCs w:val="52"/>
            </w:rPr>
            <w:t xml:space="preserve"> </w:t>
          </w:r>
        </w:p>
        <w:p w14:paraId="04087AB4" w14:textId="77777777" w:rsidR="00AB53FA" w:rsidRDefault="00AB53FA" w:rsidP="00AB53FA">
          <w:pPr>
            <w:pStyle w:val="NoSpacing"/>
            <w:tabs>
              <w:tab w:val="left" w:pos="9781"/>
            </w:tabs>
            <w:ind w:right="686"/>
            <w:jc w:val="right"/>
            <w:rPr>
              <w:rFonts w:eastAsiaTheme="majorEastAsia" w:cstheme="majorBidi"/>
              <w:b/>
              <w:color w:val="1F546B"/>
              <w:sz w:val="52"/>
              <w:szCs w:val="52"/>
            </w:rPr>
          </w:pPr>
          <w:r w:rsidRPr="000171F1">
            <w:rPr>
              <w:rFonts w:eastAsiaTheme="majorEastAsia" w:cstheme="majorBidi"/>
              <w:b/>
              <w:color w:val="1F546B"/>
              <w:sz w:val="52"/>
              <w:szCs w:val="52"/>
            </w:rPr>
            <w:t xml:space="preserve">Self-Assessment Report </w:t>
          </w:r>
        </w:p>
        <w:p w14:paraId="54580995" w14:textId="7B30B605" w:rsidR="00AB53FA" w:rsidRDefault="00AB53FA" w:rsidP="00AB53FA">
          <w:pPr>
            <w:pStyle w:val="NoSpacing"/>
            <w:tabs>
              <w:tab w:val="left" w:pos="9781"/>
            </w:tabs>
            <w:ind w:right="686"/>
            <w:jc w:val="right"/>
            <w:rPr>
              <w:rFonts w:eastAsiaTheme="majorEastAsia" w:cstheme="majorBidi"/>
              <w:b/>
              <w:color w:val="1F546B"/>
              <w:sz w:val="52"/>
              <w:szCs w:val="52"/>
            </w:rPr>
          </w:pPr>
          <w:r>
            <w:rPr>
              <w:rFonts w:eastAsiaTheme="majorEastAsia" w:cstheme="majorBidi"/>
              <w:b/>
              <w:color w:val="1F546B"/>
              <w:sz w:val="52"/>
              <w:szCs w:val="52"/>
            </w:rPr>
            <w:t>202</w:t>
          </w:r>
          <w:r w:rsidR="0069058B">
            <w:rPr>
              <w:rFonts w:eastAsiaTheme="majorEastAsia" w:cstheme="majorBidi"/>
              <w:b/>
              <w:color w:val="1F546B"/>
              <w:sz w:val="52"/>
              <w:szCs w:val="52"/>
            </w:rPr>
            <w:t>3</w:t>
          </w:r>
        </w:p>
        <w:p w14:paraId="507469D3" w14:textId="77777777" w:rsidR="00AB53FA" w:rsidRDefault="00AB53FA" w:rsidP="00AB53FA">
          <w:pPr>
            <w:pStyle w:val="NoSpacing"/>
            <w:tabs>
              <w:tab w:val="left" w:pos="10350"/>
            </w:tabs>
            <w:ind w:right="27"/>
            <w:rPr>
              <w:rFonts w:eastAsiaTheme="majorEastAsia" w:cstheme="majorBidi"/>
              <w:b/>
              <w:color w:val="1F546B"/>
              <w:sz w:val="52"/>
              <w:szCs w:val="52"/>
            </w:rPr>
          </w:pPr>
        </w:p>
        <w:p w14:paraId="1D0CB58C" w14:textId="77777777" w:rsidR="00AB53FA" w:rsidRDefault="00AB53FA" w:rsidP="00AB53FA">
          <w:pPr>
            <w:pStyle w:val="NoSpacing"/>
            <w:tabs>
              <w:tab w:val="left" w:pos="10350"/>
            </w:tabs>
            <w:ind w:right="27"/>
            <w:rPr>
              <w:rFonts w:eastAsiaTheme="majorEastAsia" w:cstheme="majorBidi"/>
              <w:b/>
              <w:color w:val="1F546B"/>
              <w:sz w:val="52"/>
              <w:szCs w:val="52"/>
            </w:rPr>
          </w:pPr>
        </w:p>
        <w:p w14:paraId="5047D112" w14:textId="06EC4685" w:rsidR="00AB53FA" w:rsidRDefault="00AB53FA" w:rsidP="00341B15">
          <w:pPr>
            <w:pStyle w:val="NoSpacing"/>
            <w:tabs>
              <w:tab w:val="left" w:pos="9781"/>
            </w:tabs>
            <w:ind w:right="686"/>
            <w:jc w:val="right"/>
            <w:rPr>
              <w:rFonts w:ascii="Arial" w:eastAsia="Times New Roman" w:hAnsi="Arial" w:cs="Arial"/>
              <w:sz w:val="52"/>
              <w:szCs w:val="52"/>
              <w:lang w:eastAsia="en-GB"/>
            </w:rPr>
          </w:pPr>
          <w:r>
            <w:rPr>
              <w:rFonts w:eastAsiaTheme="majorEastAsia" w:cstheme="majorBidi"/>
              <w:b/>
              <w:color w:val="1F546B"/>
              <w:sz w:val="52"/>
              <w:szCs w:val="52"/>
            </w:rPr>
            <w:t>[agency name here]</w:t>
          </w:r>
        </w:p>
      </w:sdtContent>
    </w:sdt>
    <w:p w14:paraId="78E45963" w14:textId="77777777" w:rsidR="00341B15" w:rsidRDefault="00341B15" w:rsidP="00341B15">
      <w:pPr>
        <w:rPr>
          <w:rFonts w:ascii="Arial" w:eastAsia="Times New Roman" w:hAnsi="Arial" w:cs="Arial"/>
          <w:sz w:val="52"/>
          <w:szCs w:val="52"/>
          <w:lang w:eastAsia="en-GB"/>
        </w:rPr>
      </w:pPr>
    </w:p>
    <w:p w14:paraId="324F01B5" w14:textId="1ECB50B8" w:rsidR="00341B15" w:rsidRPr="00341B15" w:rsidRDefault="00341B15" w:rsidP="00341B15">
      <w:pPr>
        <w:rPr>
          <w:lang w:eastAsia="en-GB"/>
        </w:rPr>
        <w:sectPr w:rsidR="00341B15" w:rsidRPr="00341B15" w:rsidSect="00520177">
          <w:headerReference w:type="even" r:id="rId15"/>
          <w:headerReference w:type="default" r:id="rId16"/>
          <w:footerReference w:type="even" r:id="rId17"/>
          <w:footerReference w:type="default" r:id="rId18"/>
          <w:headerReference w:type="first" r:id="rId19"/>
          <w:footerReference w:type="first" r:id="rId20"/>
          <w:pgSz w:w="11907" w:h="16840" w:code="9"/>
          <w:pgMar w:top="531" w:right="720" w:bottom="720" w:left="720" w:header="425" w:footer="635" w:gutter="0"/>
          <w:pgNumType w:start="0"/>
          <w:cols w:space="708"/>
          <w:titlePg/>
          <w:docGrid w:linePitch="360"/>
        </w:sectPr>
      </w:pPr>
    </w:p>
    <w:p w14:paraId="1C015027" w14:textId="18C95C54" w:rsidR="00AB53FA" w:rsidRPr="000C427A" w:rsidRDefault="00AB53FA" w:rsidP="00157545">
      <w:pPr>
        <w:pStyle w:val="Heading1"/>
        <w:keepNext w:val="0"/>
        <w:keepLines w:val="0"/>
        <w:spacing w:before="240" w:after="0"/>
        <w:ind w:left="567" w:hanging="567"/>
        <w:contextualSpacing w:val="0"/>
        <w:rPr>
          <w:rFonts w:asciiTheme="minorHAnsi" w:hAnsiTheme="minorHAnsi"/>
          <w:color w:val="1F546B"/>
          <w:sz w:val="40"/>
          <w:szCs w:val="40"/>
        </w:rPr>
      </w:pPr>
      <w:r w:rsidRPr="000C427A">
        <w:rPr>
          <w:rFonts w:asciiTheme="minorHAnsi" w:hAnsiTheme="minorHAnsi"/>
          <w:color w:val="1F546B"/>
          <w:sz w:val="40"/>
          <w:szCs w:val="40"/>
        </w:rPr>
        <w:lastRenderedPageBreak/>
        <w:t>Introduction</w:t>
      </w:r>
    </w:p>
    <w:p w14:paraId="796CA202" w14:textId="77777777" w:rsidR="00F17A61" w:rsidRDefault="00AB53FA" w:rsidP="00AB53FA">
      <w:pPr>
        <w:keepNext/>
        <w:spacing w:after="120"/>
        <w:jc w:val="both"/>
        <w:rPr>
          <w:color w:val="000000"/>
          <w:sz w:val="22"/>
          <w:szCs w:val="22"/>
        </w:rPr>
      </w:pPr>
      <w:r w:rsidRPr="004C2897">
        <w:rPr>
          <w:rFonts w:eastAsia="Times New Roman" w:cs="Arial"/>
          <w:sz w:val="22"/>
          <w:szCs w:val="22"/>
        </w:rPr>
        <w:t>In August 2014 the Government</w:t>
      </w:r>
      <w:r w:rsidRPr="004C2897">
        <w:rPr>
          <w:rFonts w:eastAsia="Times New Roman" w:cs="Arial"/>
          <w:color w:val="000000"/>
          <w:sz w:val="22"/>
          <w:szCs w:val="22"/>
        </w:rPr>
        <w:t xml:space="preserve"> Chief Privacy Officer (GCPO) issued </w:t>
      </w:r>
      <w:r w:rsidR="00157545">
        <w:rPr>
          <w:rFonts w:eastAsia="Times New Roman" w:cs="Arial"/>
          <w:color w:val="000000"/>
          <w:sz w:val="22"/>
          <w:szCs w:val="22"/>
        </w:rPr>
        <w:t xml:space="preserve">the first </w:t>
      </w:r>
      <w:r w:rsidRPr="004C2897">
        <w:rPr>
          <w:rFonts w:eastAsia="Times New Roman" w:cs="Arial"/>
          <w:color w:val="000000"/>
          <w:sz w:val="22"/>
          <w:szCs w:val="22"/>
        </w:rPr>
        <w:t xml:space="preserve">core expectations </w:t>
      </w:r>
      <w:r w:rsidR="00F17A61">
        <w:rPr>
          <w:rFonts w:eastAsia="Times New Roman" w:cs="Arial"/>
          <w:color w:val="000000"/>
          <w:sz w:val="22"/>
          <w:szCs w:val="22"/>
        </w:rPr>
        <w:t>and</w:t>
      </w:r>
      <w:r w:rsidRPr="004C2897">
        <w:rPr>
          <w:rFonts w:eastAsia="Times New Roman" w:cs="Arial"/>
          <w:color w:val="000000"/>
          <w:sz w:val="22"/>
          <w:szCs w:val="22"/>
        </w:rPr>
        <w:t xml:space="preserve"> the </w:t>
      </w:r>
      <w:r w:rsidRPr="004C2897">
        <w:rPr>
          <w:rFonts w:eastAsia="Times New Roman" w:cs="Arial"/>
          <w:sz w:val="22"/>
          <w:szCs w:val="22"/>
        </w:rPr>
        <w:t>Privacy Maturity Assessment Framework (PMAF) to support agencies to meet the core expectations</w:t>
      </w:r>
      <w:r w:rsidR="00E507B2">
        <w:rPr>
          <w:rFonts w:eastAsia="Times New Roman" w:cs="Arial"/>
          <w:sz w:val="22"/>
          <w:szCs w:val="22"/>
        </w:rPr>
        <w:t xml:space="preserve"> and develop privacy maturity</w:t>
      </w:r>
      <w:r w:rsidRPr="004C2897">
        <w:rPr>
          <w:rFonts w:eastAsia="Times New Roman" w:cs="Arial"/>
          <w:sz w:val="22"/>
          <w:szCs w:val="22"/>
        </w:rPr>
        <w:t xml:space="preserve">. </w:t>
      </w:r>
      <w:r w:rsidR="00157545" w:rsidRPr="00157545">
        <w:rPr>
          <w:color w:val="000000"/>
          <w:sz w:val="22"/>
          <w:szCs w:val="22"/>
        </w:rPr>
        <w:t>Privacy</w:t>
      </w:r>
      <w:r w:rsidR="00E507B2">
        <w:rPr>
          <w:color w:val="000000"/>
          <w:sz w:val="22"/>
          <w:szCs w:val="22"/>
        </w:rPr>
        <w:t xml:space="preserve"> maturity</w:t>
      </w:r>
      <w:r w:rsidR="00157545" w:rsidRPr="00157545">
        <w:rPr>
          <w:color w:val="000000"/>
          <w:sz w:val="22"/>
          <w:szCs w:val="22"/>
        </w:rPr>
        <w:t xml:space="preserve"> has </w:t>
      </w:r>
      <w:r w:rsidR="00E507B2">
        <w:rPr>
          <w:color w:val="000000"/>
          <w:sz w:val="22"/>
          <w:szCs w:val="22"/>
        </w:rPr>
        <w:t xml:space="preserve">improved and </w:t>
      </w:r>
      <w:r w:rsidR="00157545" w:rsidRPr="00157545">
        <w:rPr>
          <w:color w:val="000000"/>
          <w:sz w:val="22"/>
          <w:szCs w:val="22"/>
        </w:rPr>
        <w:t xml:space="preserve">grown steadily since </w:t>
      </w:r>
      <w:r w:rsidR="00157545">
        <w:rPr>
          <w:color w:val="000000"/>
          <w:sz w:val="22"/>
          <w:szCs w:val="22"/>
        </w:rPr>
        <w:t>then</w:t>
      </w:r>
      <w:r w:rsidR="00157545" w:rsidRPr="00157545">
        <w:rPr>
          <w:color w:val="000000"/>
          <w:sz w:val="22"/>
          <w:szCs w:val="22"/>
        </w:rPr>
        <w:t xml:space="preserve">. This, along with </w:t>
      </w:r>
      <w:r w:rsidR="00E507B2">
        <w:rPr>
          <w:color w:val="000000"/>
          <w:sz w:val="22"/>
          <w:szCs w:val="22"/>
        </w:rPr>
        <w:t>a new Privacy Act</w:t>
      </w:r>
      <w:r w:rsidR="00157545" w:rsidRPr="00157545">
        <w:rPr>
          <w:color w:val="000000"/>
          <w:sz w:val="22"/>
          <w:szCs w:val="22"/>
        </w:rPr>
        <w:t xml:space="preserve"> and agency feedback, meant PMAF needed a refresh</w:t>
      </w:r>
      <w:r w:rsidR="00157545">
        <w:rPr>
          <w:color w:val="000000"/>
          <w:sz w:val="22"/>
          <w:szCs w:val="22"/>
        </w:rPr>
        <w:t xml:space="preserve">. In 2021 </w:t>
      </w:r>
      <w:r w:rsidR="00520177">
        <w:rPr>
          <w:color w:val="000000"/>
          <w:sz w:val="22"/>
          <w:szCs w:val="22"/>
        </w:rPr>
        <w:t xml:space="preserve">a new PMAF was developed and tested by agencies. </w:t>
      </w:r>
    </w:p>
    <w:p w14:paraId="57902F9F" w14:textId="2BA1C219" w:rsidR="00520177" w:rsidRDefault="00520177" w:rsidP="00AB53FA">
      <w:pPr>
        <w:keepNext/>
        <w:spacing w:after="120"/>
        <w:jc w:val="both"/>
        <w:rPr>
          <w:color w:val="000000"/>
          <w:sz w:val="22"/>
          <w:szCs w:val="22"/>
        </w:rPr>
      </w:pPr>
      <w:r>
        <w:rPr>
          <w:color w:val="000000"/>
          <w:sz w:val="22"/>
          <w:szCs w:val="22"/>
        </w:rPr>
        <w:t>This year is t</w:t>
      </w:r>
      <w:r w:rsidR="00AB53FA" w:rsidRPr="004C2897">
        <w:rPr>
          <w:color w:val="000000"/>
          <w:sz w:val="22"/>
          <w:szCs w:val="22"/>
        </w:rPr>
        <w:t xml:space="preserve">he </w:t>
      </w:r>
      <w:r w:rsidR="00341B15">
        <w:rPr>
          <w:color w:val="000000"/>
          <w:sz w:val="22"/>
          <w:szCs w:val="22"/>
        </w:rPr>
        <w:t>second</w:t>
      </w:r>
      <w:r w:rsidR="00AB53FA" w:rsidRPr="004C2897">
        <w:rPr>
          <w:color w:val="000000"/>
          <w:sz w:val="22"/>
          <w:szCs w:val="22"/>
        </w:rPr>
        <w:t xml:space="preserve"> year of reporting </w:t>
      </w:r>
      <w:r w:rsidR="00341B15">
        <w:rPr>
          <w:color w:val="000000"/>
          <w:sz w:val="22"/>
          <w:szCs w:val="22"/>
        </w:rPr>
        <w:t>using the new PMAF framework designed to better measure privacy maturity between agencies and over time</w:t>
      </w:r>
      <w:r w:rsidR="00AB53FA" w:rsidRPr="004C2897">
        <w:rPr>
          <w:color w:val="000000"/>
          <w:sz w:val="22"/>
          <w:szCs w:val="22"/>
        </w:rPr>
        <w:t xml:space="preserve">. </w:t>
      </w:r>
    </w:p>
    <w:p w14:paraId="517FBB35" w14:textId="77A0165D" w:rsidR="00AB53FA" w:rsidRPr="004C2897" w:rsidRDefault="00520177" w:rsidP="00F17A61">
      <w:pPr>
        <w:rPr>
          <w:rFonts w:eastAsia="Times New Roman" w:cs="Arial"/>
          <w:color w:val="000000"/>
          <w:sz w:val="22"/>
          <w:szCs w:val="22"/>
        </w:rPr>
      </w:pPr>
      <w:r>
        <w:rPr>
          <w:rFonts w:eastAsia="Times New Roman" w:cs="Arial"/>
          <w:color w:val="000000"/>
          <w:sz w:val="22"/>
          <w:szCs w:val="22"/>
        </w:rPr>
        <w:t xml:space="preserve">The PMAF </w:t>
      </w:r>
      <w:r w:rsidR="00F17A61">
        <w:rPr>
          <w:rFonts w:eastAsia="Times New Roman" w:cs="Arial"/>
          <w:color w:val="000000"/>
          <w:sz w:val="22"/>
          <w:szCs w:val="22"/>
        </w:rPr>
        <w:t xml:space="preserve">focuses on delivering people-centred privacy that is </w:t>
      </w:r>
      <w:r w:rsidR="00F17A61" w:rsidRPr="00520177">
        <w:rPr>
          <w:rFonts w:eastAsia="Times New Roman" w:cs="Arial"/>
          <w:color w:val="000000"/>
          <w:sz w:val="22"/>
          <w:szCs w:val="22"/>
        </w:rPr>
        <w:t>respectful, trusted, and transparent</w:t>
      </w:r>
      <w:r w:rsidR="00E507B2">
        <w:rPr>
          <w:rFonts w:eastAsia="Times New Roman" w:cs="Arial"/>
          <w:color w:val="000000"/>
          <w:sz w:val="22"/>
          <w:szCs w:val="22"/>
        </w:rPr>
        <w:t>,</w:t>
      </w:r>
      <w:r w:rsidR="00F17A61">
        <w:rPr>
          <w:rFonts w:eastAsia="Times New Roman" w:cs="Arial"/>
          <w:color w:val="000000"/>
          <w:sz w:val="22"/>
          <w:szCs w:val="22"/>
        </w:rPr>
        <w:t xml:space="preserve"> and </w:t>
      </w:r>
      <w:r>
        <w:rPr>
          <w:rFonts w:eastAsia="Times New Roman" w:cs="Arial"/>
          <w:color w:val="000000"/>
          <w:sz w:val="22"/>
          <w:szCs w:val="22"/>
        </w:rPr>
        <w:t xml:space="preserve">aligns with the Data Protection and Use Policy (DPUP). This </w:t>
      </w:r>
      <w:r w:rsidRPr="00520177">
        <w:rPr>
          <w:rFonts w:eastAsia="Times New Roman" w:cs="Arial"/>
          <w:color w:val="000000"/>
          <w:sz w:val="22"/>
          <w:szCs w:val="22"/>
        </w:rPr>
        <w:t xml:space="preserve">PMAF/DPUP linkage </w:t>
      </w:r>
      <w:r>
        <w:rPr>
          <w:rFonts w:eastAsia="Times New Roman" w:cs="Arial"/>
          <w:color w:val="000000"/>
          <w:sz w:val="22"/>
          <w:szCs w:val="22"/>
        </w:rPr>
        <w:t>i</w:t>
      </w:r>
      <w:r w:rsidRPr="00520177">
        <w:rPr>
          <w:rFonts w:eastAsia="Times New Roman" w:cs="Arial"/>
          <w:color w:val="000000"/>
          <w:sz w:val="22"/>
          <w:szCs w:val="22"/>
        </w:rPr>
        <w:t xml:space="preserve">s </w:t>
      </w:r>
      <w:r w:rsidR="00F17A61" w:rsidRPr="00F17A61">
        <w:rPr>
          <w:rFonts w:eastAsia="Times New Roman" w:cs="Arial"/>
          <w:color w:val="000000"/>
          <w:sz w:val="22"/>
          <w:szCs w:val="22"/>
        </w:rPr>
        <w:t xml:space="preserve">aimed at making it easier to understand what ‘doing the right thing’ </w:t>
      </w:r>
      <w:r w:rsidR="00F17A61">
        <w:rPr>
          <w:rFonts w:eastAsia="Times New Roman" w:cs="Arial"/>
          <w:color w:val="000000"/>
          <w:sz w:val="22"/>
          <w:szCs w:val="22"/>
        </w:rPr>
        <w:t xml:space="preserve">with personal information </w:t>
      </w:r>
      <w:r w:rsidR="00F17A61" w:rsidRPr="00F17A61">
        <w:rPr>
          <w:rFonts w:eastAsia="Times New Roman" w:cs="Arial"/>
          <w:color w:val="000000"/>
          <w:sz w:val="22"/>
          <w:szCs w:val="22"/>
        </w:rPr>
        <w:t>looks like</w:t>
      </w:r>
      <w:r w:rsidR="00F17A61">
        <w:rPr>
          <w:rFonts w:eastAsia="Times New Roman" w:cs="Arial"/>
          <w:color w:val="000000"/>
          <w:sz w:val="22"/>
          <w:szCs w:val="22"/>
        </w:rPr>
        <w:t xml:space="preserve">. </w:t>
      </w:r>
      <w:r w:rsidR="00F17A61" w:rsidRPr="00F17A61">
        <w:rPr>
          <w:rFonts w:eastAsia="Times New Roman" w:cs="Arial"/>
          <w:color w:val="000000"/>
          <w:sz w:val="22"/>
          <w:szCs w:val="22"/>
        </w:rPr>
        <w:t xml:space="preserve">The good privacy practice embedded in PMAF corresponds to the </w:t>
      </w:r>
      <w:r w:rsidR="00E507B2">
        <w:rPr>
          <w:rFonts w:eastAsia="Times New Roman" w:cs="Arial"/>
          <w:color w:val="000000"/>
          <w:sz w:val="22"/>
          <w:szCs w:val="22"/>
        </w:rPr>
        <w:t xml:space="preserve">Te Kawa Mataaho </w:t>
      </w:r>
      <w:r w:rsidR="00F17A61" w:rsidRPr="00F17A61">
        <w:rPr>
          <w:rFonts w:eastAsia="Times New Roman" w:cs="Arial"/>
          <w:color w:val="000000"/>
          <w:sz w:val="22"/>
          <w:szCs w:val="22"/>
        </w:rPr>
        <w:t>Public Service Commission Code of Conduct, which says the public service must be fair, impartial, responsible and trustworthy.</w:t>
      </w:r>
    </w:p>
    <w:p w14:paraId="2C3DAEEE" w14:textId="77777777" w:rsidR="00AB53FA" w:rsidRPr="007C7775" w:rsidRDefault="00AB53FA" w:rsidP="00AB53FA">
      <w:pPr>
        <w:pStyle w:val="Heading2"/>
        <w:spacing w:before="240"/>
        <w:jc w:val="both"/>
        <w:rPr>
          <w:rFonts w:asciiTheme="minorHAnsi" w:hAnsiTheme="minorHAnsi"/>
        </w:rPr>
      </w:pPr>
      <w:r w:rsidRPr="000C427A">
        <w:rPr>
          <w:rFonts w:asciiTheme="minorHAnsi" w:hAnsiTheme="minorHAnsi"/>
        </w:rPr>
        <w:t>Purpose</w:t>
      </w:r>
    </w:p>
    <w:p w14:paraId="556CAFA9" w14:textId="77777777" w:rsidR="00AB53FA" w:rsidRPr="004C2897" w:rsidRDefault="00AB53FA" w:rsidP="00AB53FA">
      <w:pPr>
        <w:keepNext/>
        <w:spacing w:after="120"/>
        <w:jc w:val="both"/>
        <w:rPr>
          <w:rFonts w:eastAsia="Times New Roman" w:cs="Arial"/>
          <w:color w:val="000000"/>
          <w:sz w:val="22"/>
        </w:rPr>
      </w:pPr>
      <w:r w:rsidRPr="004C2897">
        <w:rPr>
          <w:rFonts w:eastAsia="Times New Roman" w:cs="Arial"/>
          <w:color w:val="000000"/>
          <w:sz w:val="22"/>
        </w:rPr>
        <w:t xml:space="preserve">Cabinet requires the GCPO and the Government Chief Digital Officer (GCDO) to report </w:t>
      </w:r>
      <w:r w:rsidRPr="004C2897">
        <w:rPr>
          <w:sz w:val="22"/>
        </w:rPr>
        <w:t xml:space="preserve">annually to the Minister for </w:t>
      </w:r>
      <w:r w:rsidR="00E507B2">
        <w:rPr>
          <w:sz w:val="22"/>
        </w:rPr>
        <w:t>the Digital Economy and Communications</w:t>
      </w:r>
      <w:r w:rsidRPr="004C2897">
        <w:rPr>
          <w:sz w:val="22"/>
        </w:rPr>
        <w:t xml:space="preserve"> on system-wide </w:t>
      </w:r>
      <w:r w:rsidR="00E507B2">
        <w:rPr>
          <w:sz w:val="22"/>
        </w:rPr>
        <w:t xml:space="preserve">privacy </w:t>
      </w:r>
      <w:r w:rsidRPr="004C2897">
        <w:rPr>
          <w:sz w:val="22"/>
        </w:rPr>
        <w:t>capability and maturity and the effective use of data and information</w:t>
      </w:r>
      <w:r w:rsidRPr="004C2897">
        <w:rPr>
          <w:rFonts w:eastAsia="Times New Roman" w:cs="Arial"/>
          <w:color w:val="000000"/>
          <w:sz w:val="22"/>
        </w:rPr>
        <w:t xml:space="preserve">. </w:t>
      </w:r>
    </w:p>
    <w:p w14:paraId="459BC002" w14:textId="77777777" w:rsidR="00AB53FA" w:rsidRPr="004C2897" w:rsidRDefault="00AB53FA" w:rsidP="00AB53FA">
      <w:pPr>
        <w:keepNext/>
        <w:spacing w:after="120"/>
        <w:jc w:val="both"/>
        <w:rPr>
          <w:rFonts w:eastAsia="Times New Roman" w:cs="Arial"/>
          <w:color w:val="000000"/>
          <w:sz w:val="22"/>
        </w:rPr>
      </w:pPr>
      <w:r w:rsidRPr="004C2897">
        <w:rPr>
          <w:rFonts w:eastAsia="Times New Roman" w:cs="Arial"/>
          <w:color w:val="000000"/>
          <w:sz w:val="22"/>
        </w:rPr>
        <w:t>Good privacy practice, commensurate with the nature of personal information holdings an agency has, is the accountability of every Chief Executive.</w:t>
      </w:r>
    </w:p>
    <w:p w14:paraId="0321EFDC" w14:textId="77777777" w:rsidR="00AB53FA" w:rsidRPr="00157545" w:rsidRDefault="00AB53FA" w:rsidP="00157545">
      <w:pPr>
        <w:keepNext/>
        <w:spacing w:after="120"/>
        <w:jc w:val="both"/>
        <w:rPr>
          <w:rFonts w:eastAsia="Times New Roman" w:cs="Arial"/>
          <w:color w:val="000000"/>
          <w:sz w:val="22"/>
        </w:rPr>
      </w:pPr>
      <w:r w:rsidRPr="004C2897">
        <w:rPr>
          <w:rFonts w:eastAsia="Times New Roman" w:cs="Arial"/>
          <w:color w:val="000000"/>
          <w:sz w:val="22"/>
        </w:rPr>
        <w:t>This report will assist Chief Executives to understand how they are progressing in building privacy capability, will help the GCPO to understand what further support agencies need, and will enable the GCPO to report annually on system-wide progress in building capability in privacy</w:t>
      </w:r>
      <w:r w:rsidR="00E507B2">
        <w:rPr>
          <w:rFonts w:eastAsia="Times New Roman" w:cs="Arial"/>
          <w:color w:val="000000"/>
          <w:sz w:val="22"/>
        </w:rPr>
        <w:t xml:space="preserve"> across the public service</w:t>
      </w:r>
      <w:r w:rsidRPr="004C2897">
        <w:rPr>
          <w:rFonts w:eastAsia="Times New Roman" w:cs="Arial"/>
          <w:color w:val="000000"/>
          <w:sz w:val="22"/>
        </w:rPr>
        <w:t>.</w:t>
      </w:r>
    </w:p>
    <w:p w14:paraId="47FB8A50" w14:textId="77777777" w:rsidR="00AB53FA" w:rsidRDefault="002323E5" w:rsidP="00AB53FA">
      <w:pPr>
        <w:pStyle w:val="Heading2"/>
        <w:spacing w:before="240"/>
        <w:jc w:val="both"/>
        <w:rPr>
          <w:rFonts w:asciiTheme="minorHAnsi" w:hAnsiTheme="minorHAnsi"/>
        </w:rPr>
      </w:pPr>
      <w:r>
        <w:rPr>
          <w:rFonts w:asciiTheme="minorHAnsi" w:hAnsiTheme="minorHAnsi"/>
        </w:rPr>
        <w:t>Completing a self-assessment</w:t>
      </w:r>
    </w:p>
    <w:p w14:paraId="17F5EC2B" w14:textId="77777777" w:rsidR="0008141E" w:rsidRPr="00C70C96" w:rsidRDefault="00E466D1" w:rsidP="0008141E">
      <w:pPr>
        <w:rPr>
          <w:sz w:val="20"/>
        </w:rPr>
      </w:pPr>
      <w:hyperlink r:id="rId21" w:history="1">
        <w:r w:rsidR="0008141E" w:rsidRPr="001127DC">
          <w:rPr>
            <w:rStyle w:val="Hyperlink"/>
            <w:sz w:val="20"/>
          </w:rPr>
          <w:t>Guidance on PMAF and self-assessments</w:t>
        </w:r>
        <w:r w:rsidR="00E507B2" w:rsidRPr="001127DC">
          <w:rPr>
            <w:rStyle w:val="Hyperlink"/>
            <w:sz w:val="20"/>
          </w:rPr>
          <w:t xml:space="preserve"> </w:t>
        </w:r>
        <w:r w:rsidR="001127DC" w:rsidRPr="001127DC">
          <w:rPr>
            <w:rStyle w:val="Hyperlink"/>
            <w:sz w:val="20"/>
          </w:rPr>
          <w:t>on</w:t>
        </w:r>
        <w:r w:rsidR="00E507B2" w:rsidRPr="001127DC">
          <w:rPr>
            <w:rStyle w:val="Hyperlink"/>
            <w:sz w:val="20"/>
          </w:rPr>
          <w:t xml:space="preserve"> digital.govt.nz</w:t>
        </w:r>
      </w:hyperlink>
      <w:r w:rsidR="0008141E" w:rsidRPr="00C70C96">
        <w:rPr>
          <w:sz w:val="20"/>
        </w:rPr>
        <w:t xml:space="preserve"> </w:t>
      </w:r>
    </w:p>
    <w:p w14:paraId="5071F494" w14:textId="5BCF79A4" w:rsidR="00AB53FA" w:rsidRPr="004C2897" w:rsidRDefault="0008141E" w:rsidP="0008141E">
      <w:pPr>
        <w:pStyle w:val="ListParagraph"/>
        <w:keepLines w:val="0"/>
        <w:numPr>
          <w:ilvl w:val="0"/>
          <w:numId w:val="56"/>
        </w:numPr>
        <w:spacing w:before="0" w:after="0"/>
        <w:jc w:val="both"/>
        <w:rPr>
          <w:rFonts w:cs="Arial"/>
          <w:sz w:val="22"/>
        </w:rPr>
      </w:pPr>
      <w:r>
        <w:rPr>
          <w:rFonts w:cs="Arial"/>
          <w:sz w:val="22"/>
        </w:rPr>
        <w:t xml:space="preserve">Use the template </w:t>
      </w:r>
      <w:r w:rsidR="00E507B2">
        <w:rPr>
          <w:rFonts w:cs="Arial"/>
          <w:sz w:val="22"/>
        </w:rPr>
        <w:t xml:space="preserve">in this document </w:t>
      </w:r>
      <w:r>
        <w:rPr>
          <w:rFonts w:cs="Arial"/>
          <w:sz w:val="22"/>
        </w:rPr>
        <w:t>to complete your self-assessment</w:t>
      </w:r>
      <w:r w:rsidR="001C781D">
        <w:rPr>
          <w:rFonts w:cs="Arial"/>
          <w:sz w:val="22"/>
        </w:rPr>
        <w:t>.</w:t>
      </w:r>
    </w:p>
    <w:p w14:paraId="3EC0AC21" w14:textId="423DE6E3" w:rsidR="00AB53FA" w:rsidRPr="004C2897" w:rsidRDefault="0008141E" w:rsidP="00AB53FA">
      <w:pPr>
        <w:pStyle w:val="ListParagraph"/>
        <w:keepLines w:val="0"/>
        <w:numPr>
          <w:ilvl w:val="0"/>
          <w:numId w:val="56"/>
        </w:numPr>
        <w:spacing w:before="0" w:after="0"/>
        <w:jc w:val="both"/>
        <w:rPr>
          <w:rFonts w:cs="Arial"/>
          <w:sz w:val="22"/>
        </w:rPr>
      </w:pPr>
      <w:r>
        <w:rPr>
          <w:rFonts w:cs="Arial"/>
          <w:sz w:val="22"/>
        </w:rPr>
        <w:t>Use the accompanying Excel calculator to assist with determining your agency’s maturity for each element and section</w:t>
      </w:r>
      <w:r w:rsidR="001C781D">
        <w:rPr>
          <w:rFonts w:cs="Arial"/>
          <w:sz w:val="22"/>
        </w:rPr>
        <w:t>.</w:t>
      </w:r>
    </w:p>
    <w:p w14:paraId="00984A14" w14:textId="42A1912D" w:rsidR="0008141E" w:rsidRDefault="0008141E" w:rsidP="00A97164">
      <w:pPr>
        <w:pStyle w:val="ListParagraph"/>
        <w:keepLines w:val="0"/>
        <w:numPr>
          <w:ilvl w:val="0"/>
          <w:numId w:val="56"/>
        </w:numPr>
        <w:spacing w:before="0" w:after="0"/>
        <w:jc w:val="both"/>
        <w:rPr>
          <w:rFonts w:cs="Arial"/>
          <w:sz w:val="22"/>
        </w:rPr>
      </w:pPr>
      <w:r w:rsidRPr="0008141E">
        <w:rPr>
          <w:rFonts w:cs="Arial"/>
          <w:sz w:val="22"/>
        </w:rPr>
        <w:t xml:space="preserve">Return the </w:t>
      </w:r>
      <w:r w:rsidRPr="00FC3414">
        <w:rPr>
          <w:rFonts w:cs="Arial"/>
          <w:b/>
          <w:sz w:val="22"/>
        </w:rPr>
        <w:t xml:space="preserve">completed </w:t>
      </w:r>
      <w:r w:rsidR="00FC3414">
        <w:rPr>
          <w:rFonts w:cs="Arial"/>
          <w:b/>
          <w:sz w:val="22"/>
        </w:rPr>
        <w:t xml:space="preserve">Word </w:t>
      </w:r>
      <w:r w:rsidRPr="00FC3414">
        <w:rPr>
          <w:rFonts w:cs="Arial"/>
          <w:b/>
          <w:sz w:val="22"/>
        </w:rPr>
        <w:t xml:space="preserve">template and </w:t>
      </w:r>
      <w:r w:rsidR="00FC3414">
        <w:rPr>
          <w:rFonts w:cs="Arial"/>
          <w:b/>
          <w:sz w:val="22"/>
        </w:rPr>
        <w:t xml:space="preserve">Excel </w:t>
      </w:r>
      <w:r w:rsidRPr="00FC3414">
        <w:rPr>
          <w:rFonts w:cs="Arial"/>
          <w:b/>
          <w:sz w:val="22"/>
        </w:rPr>
        <w:t>calculator</w:t>
      </w:r>
      <w:r w:rsidRPr="0008141E">
        <w:rPr>
          <w:rFonts w:cs="Arial"/>
          <w:sz w:val="22"/>
        </w:rPr>
        <w:t xml:space="preserve"> to </w:t>
      </w:r>
      <w:hyperlink r:id="rId22" w:history="1">
        <w:r w:rsidR="00E507B2" w:rsidRPr="00E714D2">
          <w:rPr>
            <w:rStyle w:val="Hyperlink"/>
            <w:rFonts w:cs="Arial"/>
            <w:sz w:val="22"/>
          </w:rPr>
          <w:t>GCPO@dia.govt</w:t>
        </w:r>
        <w:r w:rsidR="00E507B2" w:rsidRPr="00B20D95">
          <w:rPr>
            <w:rStyle w:val="Hyperlink"/>
            <w:rFonts w:cs="Arial"/>
            <w:sz w:val="22"/>
          </w:rPr>
          <w:t>.nz</w:t>
        </w:r>
      </w:hyperlink>
      <w:r w:rsidR="00E507B2">
        <w:rPr>
          <w:rFonts w:cs="Arial"/>
          <w:sz w:val="22"/>
        </w:rPr>
        <w:t xml:space="preserve"> </w:t>
      </w:r>
      <w:r w:rsidR="003F48BA">
        <w:rPr>
          <w:rFonts w:cs="Arial"/>
          <w:sz w:val="22"/>
        </w:rPr>
        <w:t xml:space="preserve">by </w:t>
      </w:r>
      <w:r w:rsidR="003F48BA" w:rsidRPr="003F48BA">
        <w:rPr>
          <w:rFonts w:cs="Arial"/>
          <w:b/>
          <w:bCs/>
          <w:sz w:val="22"/>
        </w:rPr>
        <w:t>30 June 2023</w:t>
      </w:r>
      <w:r w:rsidR="003F48BA">
        <w:rPr>
          <w:rFonts w:cs="Arial"/>
          <w:sz w:val="22"/>
        </w:rPr>
        <w:t>.</w:t>
      </w:r>
      <w:r w:rsidRPr="0008141E">
        <w:rPr>
          <w:rFonts w:cs="Arial"/>
          <w:sz w:val="22"/>
        </w:rPr>
        <w:t xml:space="preserve"> </w:t>
      </w:r>
    </w:p>
    <w:p w14:paraId="61D8DF0C" w14:textId="77777777" w:rsidR="00AB53FA" w:rsidRPr="007C7775" w:rsidRDefault="0008141E" w:rsidP="002323E5">
      <w:pPr>
        <w:pStyle w:val="Heading2"/>
        <w:spacing w:before="240"/>
        <w:jc w:val="both"/>
        <w:rPr>
          <w:rFonts w:asciiTheme="minorHAnsi" w:hAnsiTheme="minorHAnsi"/>
        </w:rPr>
      </w:pPr>
      <w:r>
        <w:rPr>
          <w:rFonts w:asciiTheme="minorHAnsi" w:hAnsiTheme="minorHAnsi"/>
        </w:rPr>
        <w:t>Reporting the results</w:t>
      </w:r>
    </w:p>
    <w:p w14:paraId="57F1B470" w14:textId="77777777" w:rsidR="00AB53FA" w:rsidRPr="004C2897" w:rsidRDefault="00AB53FA" w:rsidP="00AB53FA">
      <w:pPr>
        <w:keepNext/>
        <w:spacing w:after="120"/>
        <w:jc w:val="both"/>
        <w:rPr>
          <w:rFonts w:eastAsia="Times New Roman" w:cs="Arial"/>
          <w:color w:val="000000"/>
          <w:sz w:val="22"/>
        </w:rPr>
      </w:pPr>
      <w:r w:rsidRPr="004C2897">
        <w:rPr>
          <w:rFonts w:eastAsia="Times New Roman" w:cs="Arial"/>
          <w:color w:val="000000"/>
          <w:sz w:val="22"/>
        </w:rPr>
        <w:t>Agency data will be consolidated into an aggregated summary report on system-wide progress in improving privacy management.  Your agency’s individual results will not be published separate to the wider public services’ aggregated results without written permission and confirmation from your agency.</w:t>
      </w:r>
    </w:p>
    <w:p w14:paraId="6EA407CC" w14:textId="77777777" w:rsidR="00AB53FA" w:rsidRPr="004C2897" w:rsidRDefault="00AB53FA" w:rsidP="00AB53FA">
      <w:pPr>
        <w:keepNext/>
        <w:spacing w:after="120"/>
        <w:jc w:val="both"/>
        <w:rPr>
          <w:rFonts w:eastAsia="Times New Roman" w:cs="Arial"/>
          <w:color w:val="000000"/>
          <w:sz w:val="22"/>
        </w:rPr>
      </w:pPr>
      <w:r w:rsidRPr="004C2897">
        <w:rPr>
          <w:rFonts w:eastAsia="Times New Roman" w:cs="Arial"/>
          <w:color w:val="000000"/>
          <w:sz w:val="22"/>
        </w:rPr>
        <w:t xml:space="preserve">The GCPO will also use report data to inform engagements with individual agencies and to assist in planning future support for agencies.  </w:t>
      </w:r>
    </w:p>
    <w:p w14:paraId="25CC1885" w14:textId="77777777" w:rsidR="00AB53FA" w:rsidRPr="004C2897" w:rsidRDefault="00E507B2" w:rsidP="00AB53FA">
      <w:pPr>
        <w:keepNext/>
        <w:spacing w:after="120"/>
        <w:jc w:val="both"/>
        <w:rPr>
          <w:rFonts w:eastAsia="Times New Roman" w:cs="Arial"/>
          <w:color w:val="000000"/>
          <w:sz w:val="22"/>
        </w:rPr>
      </w:pPr>
      <w:r>
        <w:rPr>
          <w:rFonts w:eastAsia="Times New Roman" w:cs="Arial"/>
          <w:color w:val="000000"/>
          <w:sz w:val="22"/>
        </w:rPr>
        <w:t>Aggregated r</w:t>
      </w:r>
      <w:r w:rsidR="00AB53FA" w:rsidRPr="004C2897">
        <w:rPr>
          <w:rFonts w:eastAsia="Times New Roman" w:cs="Arial"/>
          <w:color w:val="000000"/>
          <w:sz w:val="22"/>
        </w:rPr>
        <w:t xml:space="preserve">eport data may be shared with other agencies responsible for building capability in privacy and security.  These agencies include </w:t>
      </w:r>
      <w:r>
        <w:rPr>
          <w:rFonts w:eastAsia="Times New Roman" w:cs="Arial"/>
          <w:color w:val="000000"/>
          <w:sz w:val="22"/>
        </w:rPr>
        <w:t>Te Kawa Mataaho Public Service Commission</w:t>
      </w:r>
      <w:r w:rsidR="00AB53FA" w:rsidRPr="004C2897">
        <w:rPr>
          <w:rFonts w:eastAsia="Times New Roman" w:cs="Arial"/>
          <w:color w:val="000000"/>
          <w:sz w:val="22"/>
        </w:rPr>
        <w:t xml:space="preserve">, the </w:t>
      </w:r>
      <w:r>
        <w:rPr>
          <w:rFonts w:eastAsia="Times New Roman" w:cs="Arial"/>
          <w:color w:val="000000"/>
          <w:sz w:val="22"/>
        </w:rPr>
        <w:t>Government Chief Digital Officer,</w:t>
      </w:r>
      <w:r w:rsidR="00AB53FA" w:rsidRPr="004C2897">
        <w:rPr>
          <w:rFonts w:eastAsia="Times New Roman" w:cs="Arial"/>
          <w:color w:val="000000"/>
          <w:sz w:val="22"/>
        </w:rPr>
        <w:t xml:space="preserve"> and the Protective Security Requirements Team </w:t>
      </w:r>
      <w:r>
        <w:rPr>
          <w:rFonts w:eastAsia="Times New Roman" w:cs="Arial"/>
          <w:color w:val="000000"/>
          <w:sz w:val="22"/>
        </w:rPr>
        <w:t>in</w:t>
      </w:r>
      <w:r w:rsidRPr="004C2897">
        <w:rPr>
          <w:rFonts w:eastAsia="Times New Roman" w:cs="Arial"/>
          <w:color w:val="000000"/>
          <w:sz w:val="22"/>
        </w:rPr>
        <w:t xml:space="preserve"> </w:t>
      </w:r>
      <w:r w:rsidR="00AB53FA" w:rsidRPr="004C2897">
        <w:rPr>
          <w:rFonts w:eastAsia="Times New Roman" w:cs="Arial"/>
          <w:color w:val="000000"/>
          <w:sz w:val="22"/>
        </w:rPr>
        <w:t>the NZ Intelligence Community.</w:t>
      </w:r>
    </w:p>
    <w:p w14:paraId="21D56017" w14:textId="77777777" w:rsidR="00AB53FA" w:rsidRPr="004C2897" w:rsidRDefault="00AB53FA" w:rsidP="00AB53FA">
      <w:pPr>
        <w:keepNext/>
        <w:spacing w:after="120"/>
        <w:jc w:val="both"/>
        <w:rPr>
          <w:rFonts w:eastAsia="Times New Roman" w:cs="Arial"/>
          <w:color w:val="000000"/>
          <w:sz w:val="22"/>
        </w:rPr>
      </w:pPr>
      <w:r w:rsidRPr="004C2897">
        <w:rPr>
          <w:rFonts w:eastAsia="Times New Roman" w:cs="Arial"/>
          <w:color w:val="000000"/>
          <w:sz w:val="22"/>
        </w:rPr>
        <w:t>Official Information Act requests will be assessed on a case by case basis, in consultation with agencies. The GCPO is likely to transfer requests for completed reports to the agency concerned.</w:t>
      </w:r>
    </w:p>
    <w:p w14:paraId="11D4078F" w14:textId="4B4B3A3F" w:rsidR="00AB53FA" w:rsidRDefault="00AB53FA" w:rsidP="00157545">
      <w:pPr>
        <w:pStyle w:val="Heading2"/>
        <w:spacing w:before="240"/>
        <w:rPr>
          <w:rFonts w:asciiTheme="minorHAnsi" w:hAnsiTheme="minorHAnsi"/>
        </w:rPr>
      </w:pPr>
      <w:r>
        <w:rPr>
          <w:rFonts w:asciiTheme="minorHAnsi" w:hAnsiTheme="minorHAnsi"/>
        </w:rPr>
        <w:t>Verifying information provided</w:t>
      </w:r>
    </w:p>
    <w:p w14:paraId="0E32AB14" w14:textId="4BE7DB00" w:rsidR="00AB53FA" w:rsidRPr="004C2897" w:rsidRDefault="00AB53FA" w:rsidP="00AB53FA">
      <w:pPr>
        <w:pStyle w:val="BodyText"/>
        <w:spacing w:after="0"/>
        <w:rPr>
          <w:rFonts w:eastAsia="Times New Roman" w:cs="Arial"/>
          <w:color w:val="000000"/>
          <w:sz w:val="22"/>
        </w:rPr>
      </w:pPr>
      <w:r w:rsidRPr="004C2897">
        <w:rPr>
          <w:rFonts w:eastAsia="Times New Roman" w:cs="Arial"/>
          <w:color w:val="000000"/>
          <w:sz w:val="22"/>
        </w:rPr>
        <w:t xml:space="preserve">While this is an agency self-assessment, </w:t>
      </w:r>
      <w:r w:rsidRPr="004C2897">
        <w:rPr>
          <w:sz w:val="22"/>
        </w:rPr>
        <w:t>I may require evidence to support the information provided</w:t>
      </w:r>
      <w:r w:rsidRPr="004C2897">
        <w:rPr>
          <w:rFonts w:eastAsia="Times New Roman" w:cs="Arial"/>
          <w:color w:val="000000"/>
          <w:sz w:val="22"/>
        </w:rPr>
        <w:t xml:space="preserve"> to me.</w:t>
      </w:r>
      <w:r w:rsidR="003F48BA">
        <w:rPr>
          <w:rFonts w:eastAsia="Times New Roman" w:cs="Arial"/>
          <w:color w:val="000000"/>
          <w:sz w:val="22"/>
        </w:rPr>
        <w:t xml:space="preserve"> </w:t>
      </w:r>
    </w:p>
    <w:p w14:paraId="48D9E599" w14:textId="77777777" w:rsidR="00AB53FA" w:rsidRPr="007C7775" w:rsidRDefault="00AB53FA" w:rsidP="00AB53FA">
      <w:pPr>
        <w:pStyle w:val="Heading2"/>
        <w:spacing w:before="240"/>
        <w:jc w:val="both"/>
        <w:rPr>
          <w:rFonts w:asciiTheme="minorHAnsi" w:hAnsiTheme="minorHAnsi"/>
        </w:rPr>
      </w:pPr>
      <w:r w:rsidRPr="000C427A">
        <w:rPr>
          <w:rFonts w:asciiTheme="minorHAnsi" w:hAnsiTheme="minorHAnsi"/>
        </w:rPr>
        <w:t xml:space="preserve">Returns and </w:t>
      </w:r>
      <w:r w:rsidR="00D0484D">
        <w:rPr>
          <w:rFonts w:asciiTheme="minorHAnsi" w:hAnsiTheme="minorHAnsi"/>
        </w:rPr>
        <w:t>e</w:t>
      </w:r>
      <w:r w:rsidRPr="000C427A">
        <w:rPr>
          <w:rFonts w:asciiTheme="minorHAnsi" w:hAnsiTheme="minorHAnsi"/>
        </w:rPr>
        <w:t>nquiries</w:t>
      </w:r>
    </w:p>
    <w:p w14:paraId="6A49F56C" w14:textId="5BCCD58C" w:rsidR="00AB53FA" w:rsidRPr="004C2897" w:rsidRDefault="00AB53FA" w:rsidP="00AB53FA">
      <w:pPr>
        <w:keepNext/>
        <w:spacing w:after="120"/>
        <w:jc w:val="both"/>
        <w:rPr>
          <w:rFonts w:eastAsia="Times New Roman" w:cs="Arial"/>
          <w:color w:val="000000"/>
          <w:sz w:val="22"/>
        </w:rPr>
      </w:pPr>
      <w:r w:rsidRPr="004C2897">
        <w:rPr>
          <w:rFonts w:eastAsia="Times New Roman" w:cs="Arial"/>
          <w:color w:val="000000"/>
          <w:sz w:val="22"/>
        </w:rPr>
        <w:t>Completed self-assessment reports should be approved by Chief Executives and received by</w:t>
      </w:r>
      <w:r w:rsidR="00E507B2">
        <w:rPr>
          <w:rFonts w:eastAsia="Times New Roman" w:cs="Arial"/>
          <w:color w:val="000000"/>
          <w:sz w:val="22"/>
        </w:rPr>
        <w:t xml:space="preserve"> the GCPO no later than</w:t>
      </w:r>
      <w:r w:rsidRPr="004C2897">
        <w:rPr>
          <w:rFonts w:eastAsia="Times New Roman" w:cs="Arial"/>
          <w:color w:val="000000"/>
          <w:sz w:val="22"/>
        </w:rPr>
        <w:t xml:space="preserve"> </w:t>
      </w:r>
      <w:r w:rsidRPr="004C2897">
        <w:rPr>
          <w:rFonts w:eastAsia="Times New Roman" w:cs="Arial"/>
          <w:b/>
          <w:color w:val="000000"/>
          <w:sz w:val="22"/>
        </w:rPr>
        <w:t xml:space="preserve">30 </w:t>
      </w:r>
      <w:r w:rsidR="00F17A61">
        <w:rPr>
          <w:rFonts w:eastAsia="Times New Roman" w:cs="Arial"/>
          <w:b/>
          <w:color w:val="000000"/>
          <w:sz w:val="22"/>
        </w:rPr>
        <w:t>June</w:t>
      </w:r>
      <w:r w:rsidRPr="004C2897">
        <w:rPr>
          <w:rFonts w:eastAsia="Times New Roman" w:cs="Arial"/>
          <w:b/>
          <w:color w:val="000000"/>
          <w:sz w:val="22"/>
        </w:rPr>
        <w:t xml:space="preserve"> 202</w:t>
      </w:r>
      <w:r w:rsidR="0069058B">
        <w:rPr>
          <w:rFonts w:eastAsia="Times New Roman" w:cs="Arial"/>
          <w:b/>
          <w:color w:val="000000"/>
          <w:sz w:val="22"/>
        </w:rPr>
        <w:t>3</w:t>
      </w:r>
      <w:r w:rsidRPr="004C2897">
        <w:rPr>
          <w:rFonts w:eastAsia="Times New Roman" w:cs="Arial"/>
          <w:color w:val="000000"/>
          <w:sz w:val="22"/>
        </w:rPr>
        <w:t xml:space="preserve">. </w:t>
      </w:r>
    </w:p>
    <w:p w14:paraId="32591E15" w14:textId="77777777" w:rsidR="00AB53FA" w:rsidRPr="004C2897" w:rsidRDefault="00AB53FA" w:rsidP="00AB53FA">
      <w:pPr>
        <w:keepNext/>
        <w:spacing w:after="120"/>
        <w:jc w:val="both"/>
        <w:rPr>
          <w:rFonts w:eastAsia="Times New Roman" w:cs="Arial"/>
          <w:color w:val="000000"/>
          <w:sz w:val="22"/>
        </w:rPr>
      </w:pPr>
      <w:r w:rsidRPr="004C2897">
        <w:rPr>
          <w:rFonts w:eastAsia="Times New Roman" w:cs="Arial"/>
          <w:color w:val="000000"/>
          <w:sz w:val="22"/>
        </w:rPr>
        <w:t>If your agency has a Board, the Board Chair is not required to approve the self-assessment. It remains open to each agency to present the self-assessment to the Board or Board Chair.</w:t>
      </w:r>
    </w:p>
    <w:p w14:paraId="1FE3CA0C" w14:textId="77777777" w:rsidR="00AB53FA" w:rsidRPr="004C2897" w:rsidRDefault="00AB53FA" w:rsidP="00AB53FA">
      <w:pPr>
        <w:keepNext/>
        <w:spacing w:after="120"/>
        <w:jc w:val="both"/>
        <w:rPr>
          <w:rFonts w:eastAsia="Times New Roman" w:cs="Arial"/>
          <w:color w:val="000000"/>
          <w:sz w:val="22"/>
        </w:rPr>
      </w:pPr>
      <w:r w:rsidRPr="004C2897">
        <w:rPr>
          <w:rFonts w:eastAsia="Times New Roman" w:cs="Arial"/>
          <w:color w:val="000000"/>
          <w:sz w:val="22"/>
        </w:rPr>
        <w:t>Please return completed reports to:</w:t>
      </w:r>
    </w:p>
    <w:p w14:paraId="00CAED9A" w14:textId="2EB860A8" w:rsidR="00AB53FA" w:rsidRPr="004C2897" w:rsidRDefault="001C781D" w:rsidP="001C781D">
      <w:pPr>
        <w:spacing w:after="120"/>
        <w:ind w:firstLine="567"/>
        <w:jc w:val="both"/>
        <w:rPr>
          <w:rFonts w:eastAsia="Times New Roman" w:cs="Arial"/>
          <w:b/>
          <w:sz w:val="22"/>
        </w:rPr>
      </w:pPr>
      <w:hyperlink r:id="rId23" w:history="1">
        <w:r w:rsidRPr="00E21428">
          <w:rPr>
            <w:rStyle w:val="Hyperlink"/>
            <w:rFonts w:eastAsia="Times New Roman" w:cs="Arial"/>
            <w:b/>
            <w:sz w:val="22"/>
          </w:rPr>
          <w:t>GCPO@dia.govt.nz</w:t>
        </w:r>
      </w:hyperlink>
      <w:r w:rsidR="00AB53FA" w:rsidRPr="004C2897">
        <w:rPr>
          <w:rFonts w:eastAsia="Times New Roman" w:cs="Arial"/>
          <w:b/>
          <w:sz w:val="22"/>
        </w:rPr>
        <w:t xml:space="preserve"> </w:t>
      </w:r>
    </w:p>
    <w:p w14:paraId="0409EC1D" w14:textId="4D7A947B" w:rsidR="00AB53FA" w:rsidRPr="004C2897" w:rsidRDefault="00AB53FA" w:rsidP="001C781D">
      <w:pPr>
        <w:spacing w:after="120"/>
        <w:ind w:firstLine="567"/>
        <w:jc w:val="both"/>
        <w:rPr>
          <w:rFonts w:eastAsia="Times New Roman" w:cs="Arial"/>
          <w:sz w:val="22"/>
        </w:rPr>
      </w:pPr>
      <w:r w:rsidRPr="004C2897">
        <w:rPr>
          <w:rFonts w:eastAsia="Times New Roman" w:cs="Arial"/>
          <w:sz w:val="22"/>
        </w:rPr>
        <w:t xml:space="preserve">Attention:  </w:t>
      </w:r>
      <w:r w:rsidRPr="004C2897">
        <w:rPr>
          <w:rFonts w:eastAsia="Times New Roman" w:cs="Arial"/>
          <w:sz w:val="22"/>
        </w:rPr>
        <w:tab/>
      </w:r>
      <w:r w:rsidR="0069058B">
        <w:rPr>
          <w:rFonts w:eastAsia="Times New Roman" w:cs="Arial"/>
          <w:b/>
          <w:sz w:val="22"/>
        </w:rPr>
        <w:t>Katrine Evans</w:t>
      </w:r>
      <w:r w:rsidRPr="004C2897">
        <w:rPr>
          <w:rFonts w:eastAsia="Times New Roman" w:cs="Arial"/>
          <w:sz w:val="22"/>
        </w:rPr>
        <w:t xml:space="preserve"> </w:t>
      </w:r>
    </w:p>
    <w:p w14:paraId="0BB3CCBC" w14:textId="77777777" w:rsidR="00AB53FA" w:rsidRPr="007E507E" w:rsidRDefault="00AB53FA" w:rsidP="00AB53FA">
      <w:pPr>
        <w:spacing w:after="0"/>
        <w:jc w:val="both"/>
        <w:rPr>
          <w:rFonts w:eastAsia="Times New Roman" w:cs="Arial"/>
          <w:lang w:eastAsia="en-GB"/>
        </w:rPr>
      </w:pPr>
      <w:r w:rsidRPr="004C2897">
        <w:rPr>
          <w:rFonts w:eastAsia="Times New Roman" w:cs="Arial"/>
          <w:sz w:val="22"/>
        </w:rPr>
        <w:t xml:space="preserve">Please contact </w:t>
      </w:r>
      <w:hyperlink r:id="rId24" w:history="1">
        <w:r w:rsidRPr="004C2897">
          <w:rPr>
            <w:rStyle w:val="Hyperlink"/>
            <w:rFonts w:eastAsia="Times New Roman" w:cs="Arial"/>
            <w:sz w:val="22"/>
          </w:rPr>
          <w:t>GCPO@dia.govt.nz</w:t>
        </w:r>
      </w:hyperlink>
      <w:r w:rsidRPr="004C2897">
        <w:rPr>
          <w:rFonts w:eastAsia="Times New Roman" w:cs="Arial"/>
          <w:sz w:val="22"/>
        </w:rPr>
        <w:t xml:space="preserve"> if you need any assistance in completing the report.</w:t>
      </w:r>
    </w:p>
    <w:p w14:paraId="0BC2101D" w14:textId="77777777" w:rsidR="00973859" w:rsidRDefault="00973859" w:rsidP="00AB53FA">
      <w:pPr>
        <w:keepNext/>
        <w:spacing w:after="0"/>
        <w:jc w:val="both"/>
        <w:rPr>
          <w:rFonts w:eastAsia="Times New Roman" w:cs="Arial"/>
          <w:i/>
          <w:color w:val="000000"/>
          <w:sz w:val="22"/>
        </w:rPr>
      </w:pPr>
    </w:p>
    <w:p w14:paraId="2EF0EB81" w14:textId="21C5F467" w:rsidR="00AB53FA" w:rsidRPr="00D0484D" w:rsidRDefault="00AB53FA" w:rsidP="00AB53FA">
      <w:pPr>
        <w:keepNext/>
        <w:spacing w:after="0"/>
        <w:jc w:val="both"/>
        <w:rPr>
          <w:rFonts w:eastAsia="Times New Roman" w:cs="Arial"/>
          <w:color w:val="000000"/>
          <w:sz w:val="20"/>
        </w:rPr>
      </w:pPr>
      <w:r w:rsidRPr="00D0484D">
        <w:rPr>
          <w:rFonts w:eastAsia="Times New Roman" w:cs="Arial"/>
          <w:i/>
          <w:color w:val="000000"/>
          <w:sz w:val="20"/>
        </w:rPr>
        <w:t xml:space="preserve">Note: This report is unclassified when unpopulated. </w:t>
      </w:r>
      <w:r w:rsidRPr="00D0484D">
        <w:rPr>
          <w:rFonts w:eastAsia="Times New Roman" w:cs="Arial"/>
          <w:b/>
          <w:i/>
          <w:color w:val="000000"/>
          <w:sz w:val="20"/>
        </w:rPr>
        <w:t>Please review this classification once the document has been completed</w:t>
      </w:r>
      <w:r w:rsidRPr="00D0484D">
        <w:rPr>
          <w:rFonts w:eastAsia="Times New Roman" w:cs="Arial"/>
          <w:i/>
          <w:color w:val="000000"/>
          <w:sz w:val="20"/>
        </w:rPr>
        <w:t xml:space="preserve"> – for guidance, refer to </w:t>
      </w:r>
      <w:hyperlink r:id="rId25" w:tgtFrame="_blank" w:history="1">
        <w:r w:rsidRPr="00D0484D">
          <w:rPr>
            <w:rFonts w:eastAsia="Times New Roman"/>
            <w:i/>
            <w:iCs/>
            <w:color w:val="0000FF"/>
            <w:sz w:val="20"/>
          </w:rPr>
          <w:t>New Zealand Government Security Classification System</w:t>
        </w:r>
      </w:hyperlink>
      <w:r w:rsidRPr="00D0484D">
        <w:rPr>
          <w:rFonts w:eastAsia="Times New Roman" w:cs="Arial"/>
          <w:i/>
          <w:color w:val="000000"/>
          <w:sz w:val="20"/>
        </w:rPr>
        <w:t xml:space="preserve"> and </w:t>
      </w:r>
      <w:hyperlink r:id="rId26" w:tgtFrame="_blank" w:history="1">
        <w:r w:rsidRPr="00D0484D">
          <w:rPr>
            <w:rStyle w:val="Hyperlink"/>
            <w:rFonts w:eastAsia="Times New Roman"/>
            <w:i/>
            <w:iCs/>
            <w:color w:val="0000FF"/>
            <w:sz w:val="20"/>
            <w:u w:val="none"/>
          </w:rPr>
          <w:t>Handling Requirements for Protectively Marked Information and Equipment</w:t>
        </w:r>
      </w:hyperlink>
      <w:r w:rsidRPr="00D0484D" w:rsidDel="0080140E">
        <w:rPr>
          <w:rFonts w:eastAsia="Times New Roman" w:cs="Arial"/>
          <w:i/>
          <w:color w:val="000000"/>
          <w:sz w:val="20"/>
        </w:rPr>
        <w:t xml:space="preserve"> </w:t>
      </w:r>
      <w:r w:rsidRPr="00D0484D">
        <w:rPr>
          <w:rFonts w:eastAsia="Times New Roman" w:cs="Arial"/>
          <w:i/>
          <w:color w:val="000000"/>
          <w:sz w:val="20"/>
        </w:rPr>
        <w:t xml:space="preserve">(available </w:t>
      </w:r>
      <w:r w:rsidR="00D0484D" w:rsidRPr="00D0484D">
        <w:rPr>
          <w:rFonts w:eastAsia="Times New Roman" w:cs="Arial"/>
          <w:i/>
          <w:color w:val="000000"/>
          <w:sz w:val="20"/>
        </w:rPr>
        <w:t>at</w:t>
      </w:r>
      <w:r w:rsidR="00394B5C">
        <w:rPr>
          <w:rFonts w:eastAsia="Times New Roman" w:cs="Arial"/>
          <w:i/>
          <w:color w:val="000000"/>
          <w:sz w:val="20"/>
        </w:rPr>
        <w:t xml:space="preserve"> </w:t>
      </w:r>
      <w:hyperlink r:id="rId27" w:history="1">
        <w:r w:rsidR="00394B5C" w:rsidRPr="009C6956">
          <w:rPr>
            <w:rStyle w:val="Hyperlink"/>
            <w:rFonts w:eastAsia="Times New Roman" w:cs="Arial"/>
            <w:i/>
            <w:sz w:val="20"/>
          </w:rPr>
          <w:t>https://protectivesecurity.govt.nz</w:t>
        </w:r>
      </w:hyperlink>
      <w:r w:rsidRPr="00D0484D">
        <w:rPr>
          <w:rFonts w:eastAsia="Times New Roman" w:cs="Arial"/>
          <w:i/>
          <w:color w:val="000000"/>
          <w:sz w:val="20"/>
        </w:rPr>
        <w:t>)</w:t>
      </w:r>
      <w:r w:rsidRPr="00D0484D">
        <w:rPr>
          <w:rFonts w:eastAsia="Times New Roman" w:cs="Arial"/>
          <w:color w:val="000000"/>
          <w:sz w:val="20"/>
        </w:rPr>
        <w:t xml:space="preserve">. </w:t>
      </w:r>
    </w:p>
    <w:p w14:paraId="6B877E05" w14:textId="77777777" w:rsidR="00AB53FA" w:rsidRPr="007E507E" w:rsidRDefault="00AB53FA" w:rsidP="00AB53FA">
      <w:pPr>
        <w:keepNext/>
        <w:spacing w:after="0"/>
        <w:rPr>
          <w:rFonts w:eastAsia="Times New Roman" w:cs="Arial"/>
          <w:color w:val="000000"/>
        </w:rPr>
        <w:sectPr w:rsidR="00AB53FA" w:rsidRPr="007E507E" w:rsidSect="00520177">
          <w:headerReference w:type="default" r:id="rId28"/>
          <w:pgSz w:w="11907" w:h="16840" w:code="9"/>
          <w:pgMar w:top="720" w:right="720" w:bottom="720" w:left="720" w:header="425" w:footer="635" w:gutter="0"/>
          <w:pgNumType w:start="1"/>
          <w:cols w:num="2" w:space="708"/>
          <w:docGrid w:linePitch="360"/>
        </w:sectPr>
      </w:pPr>
    </w:p>
    <w:p w14:paraId="47FA8724" w14:textId="77777777" w:rsidR="00AB53FA" w:rsidRPr="007E507E" w:rsidRDefault="00AB53FA" w:rsidP="0069058B">
      <w:pPr>
        <w:pStyle w:val="Heading1"/>
        <w:keepNext w:val="0"/>
        <w:keepLines w:val="0"/>
        <w:spacing w:before="0"/>
        <w:ind w:left="567" w:hanging="567"/>
        <w:contextualSpacing w:val="0"/>
        <w:rPr>
          <w:rFonts w:asciiTheme="minorHAnsi" w:hAnsiTheme="minorHAnsi"/>
          <w:sz w:val="40"/>
          <w:szCs w:val="40"/>
          <w:lang w:eastAsia="en-GB"/>
        </w:rPr>
      </w:pPr>
      <w:r w:rsidRPr="000C427A">
        <w:rPr>
          <w:rFonts w:asciiTheme="minorHAnsi" w:hAnsiTheme="minorHAnsi"/>
          <w:color w:val="1F546B"/>
          <w:sz w:val="40"/>
          <w:szCs w:val="40"/>
          <w:lang w:eastAsia="en-GB"/>
        </w:rPr>
        <w:lastRenderedPageBreak/>
        <w:t>Chief Executive Summary Report</w:t>
      </w:r>
    </w:p>
    <w:p w14:paraId="711F5DB2" w14:textId="77777777" w:rsidR="00AB53FA" w:rsidRPr="003A6837" w:rsidRDefault="00AB53FA" w:rsidP="00AB53FA">
      <w:pPr>
        <w:pStyle w:val="Heading3"/>
        <w:spacing w:before="120" w:line="276" w:lineRule="auto"/>
        <w:rPr>
          <w:rFonts w:ascii="Arial" w:eastAsia="Times New Roman" w:hAnsi="Arial"/>
          <w:color w:val="000000"/>
          <w:sz w:val="2"/>
        </w:rPr>
      </w:pPr>
    </w:p>
    <w:tbl>
      <w:tblPr>
        <w:tblStyle w:val="DIATable2"/>
        <w:tblW w:w="8949" w:type="dxa"/>
        <w:tblLook w:val="0480" w:firstRow="0" w:lastRow="0" w:firstColumn="1" w:lastColumn="0" w:noHBand="0" w:noVBand="1"/>
        <w:tblDescription w:val="This table lists the Memo details."/>
      </w:tblPr>
      <w:tblGrid>
        <w:gridCol w:w="960"/>
        <w:gridCol w:w="7989"/>
      </w:tblGrid>
      <w:tr w:rsidR="00AB53FA" w:rsidRPr="007E507E" w14:paraId="54F2BA76" w14:textId="77777777" w:rsidTr="00A940A2">
        <w:trPr>
          <w:trHeight w:val="242"/>
        </w:trPr>
        <w:tc>
          <w:tcPr>
            <w:tcW w:w="960" w:type="dxa"/>
            <w:tcBorders>
              <w:top w:val="single" w:sz="12" w:space="0" w:color="1F546B" w:themeColor="text2"/>
              <w:bottom w:val="single" w:sz="6" w:space="0" w:color="FFFFFF" w:themeColor="background1"/>
            </w:tcBorders>
            <w:shd w:val="clear" w:color="auto" w:fill="1F546B"/>
          </w:tcPr>
          <w:p w14:paraId="5B5A6BE6" w14:textId="77777777" w:rsidR="00AB53FA" w:rsidRPr="007E507E" w:rsidRDefault="00AB53FA" w:rsidP="00520177">
            <w:pPr>
              <w:keepNext/>
              <w:spacing w:before="40" w:after="40"/>
              <w:rPr>
                <w:rFonts w:asciiTheme="minorHAnsi" w:hAnsiTheme="minorHAnsi" w:cs="Arial"/>
                <w:b/>
                <w:color w:val="FFFFFF" w:themeColor="background1"/>
                <w:sz w:val="24"/>
              </w:rPr>
            </w:pPr>
            <w:r w:rsidRPr="007E507E">
              <w:rPr>
                <w:rFonts w:asciiTheme="minorHAnsi" w:hAnsiTheme="minorHAnsi" w:cs="Arial"/>
                <w:b/>
                <w:color w:val="FFFFFF" w:themeColor="background1"/>
                <w:sz w:val="24"/>
              </w:rPr>
              <w:t>To</w:t>
            </w:r>
          </w:p>
        </w:tc>
        <w:tc>
          <w:tcPr>
            <w:tcW w:w="7989" w:type="dxa"/>
            <w:tcBorders>
              <w:top w:val="single" w:sz="12" w:space="0" w:color="1F546B" w:themeColor="text2"/>
            </w:tcBorders>
            <w:shd w:val="clear" w:color="auto" w:fill="auto"/>
          </w:tcPr>
          <w:p w14:paraId="36EA48AC" w14:textId="00FD3333" w:rsidR="00AB53FA" w:rsidRPr="00341B15" w:rsidRDefault="0069058B" w:rsidP="00520177">
            <w:pPr>
              <w:spacing w:before="40" w:after="40"/>
              <w:rPr>
                <w:rFonts w:asciiTheme="minorHAnsi" w:hAnsiTheme="minorHAnsi" w:cs="Arial"/>
                <w:sz w:val="24"/>
              </w:rPr>
            </w:pPr>
            <w:r w:rsidRPr="00341B15">
              <w:rPr>
                <w:rFonts w:asciiTheme="minorHAnsi" w:hAnsiTheme="minorHAnsi" w:cs="Arial"/>
                <w:sz w:val="24"/>
              </w:rPr>
              <w:t xml:space="preserve">Katrine Evans, </w:t>
            </w:r>
            <w:r w:rsidR="00AB53FA" w:rsidRPr="00341B15">
              <w:rPr>
                <w:rFonts w:asciiTheme="minorHAnsi" w:hAnsiTheme="minorHAnsi" w:cs="Arial"/>
                <w:sz w:val="24"/>
              </w:rPr>
              <w:t>Government Chief Privacy Officer</w:t>
            </w:r>
          </w:p>
        </w:tc>
      </w:tr>
      <w:tr w:rsidR="00AB53FA" w:rsidRPr="007E507E" w14:paraId="49AF07B6" w14:textId="77777777" w:rsidTr="00A940A2">
        <w:trPr>
          <w:trHeight w:val="250"/>
        </w:trPr>
        <w:tc>
          <w:tcPr>
            <w:tcW w:w="960" w:type="dxa"/>
            <w:tcBorders>
              <w:top w:val="single" w:sz="6" w:space="0" w:color="FFFFFF" w:themeColor="background1"/>
              <w:bottom w:val="single" w:sz="6" w:space="0" w:color="FFFFFF" w:themeColor="background1"/>
            </w:tcBorders>
            <w:shd w:val="clear" w:color="auto" w:fill="1F546B"/>
          </w:tcPr>
          <w:p w14:paraId="7EE821BF" w14:textId="77777777" w:rsidR="00AB53FA" w:rsidRPr="007E507E" w:rsidRDefault="00AB53FA" w:rsidP="00520177">
            <w:pPr>
              <w:keepNext/>
              <w:spacing w:before="40" w:after="40"/>
              <w:rPr>
                <w:rFonts w:asciiTheme="minorHAnsi" w:hAnsiTheme="minorHAnsi" w:cs="Arial"/>
                <w:b/>
                <w:color w:val="FFFFFF" w:themeColor="background1"/>
                <w:sz w:val="24"/>
              </w:rPr>
            </w:pPr>
            <w:r w:rsidRPr="007E507E">
              <w:rPr>
                <w:rFonts w:asciiTheme="minorHAnsi" w:hAnsiTheme="minorHAnsi" w:cs="Arial"/>
                <w:b/>
                <w:color w:val="FFFFFF" w:themeColor="background1"/>
                <w:sz w:val="24"/>
              </w:rPr>
              <w:t>From</w:t>
            </w:r>
          </w:p>
        </w:tc>
        <w:tc>
          <w:tcPr>
            <w:tcW w:w="7989" w:type="dxa"/>
            <w:shd w:val="clear" w:color="auto" w:fill="auto"/>
          </w:tcPr>
          <w:p w14:paraId="2A639745" w14:textId="77777777" w:rsidR="00AB53FA" w:rsidRPr="00341B15" w:rsidRDefault="00E714D2" w:rsidP="00520177">
            <w:pPr>
              <w:spacing w:before="40" w:after="40"/>
              <w:rPr>
                <w:rFonts w:asciiTheme="minorHAnsi" w:hAnsiTheme="minorHAnsi" w:cs="Arial"/>
                <w:sz w:val="24"/>
              </w:rPr>
            </w:pPr>
            <w:r w:rsidRPr="00341B15">
              <w:rPr>
                <w:rFonts w:asciiTheme="minorHAnsi" w:hAnsiTheme="minorHAnsi" w:cs="Arial"/>
                <w:sz w:val="24"/>
                <w:highlight w:val="yellow"/>
              </w:rPr>
              <w:t>[Insert Chief Executive name and title]</w:t>
            </w:r>
          </w:p>
        </w:tc>
      </w:tr>
      <w:tr w:rsidR="00AB53FA" w:rsidRPr="007E507E" w14:paraId="7F6C2BC6" w14:textId="77777777" w:rsidTr="00A940A2">
        <w:trPr>
          <w:trHeight w:val="242"/>
        </w:trPr>
        <w:tc>
          <w:tcPr>
            <w:tcW w:w="960" w:type="dxa"/>
            <w:tcBorders>
              <w:top w:val="single" w:sz="6" w:space="0" w:color="FFFFFF" w:themeColor="background1"/>
              <w:bottom w:val="single" w:sz="12" w:space="0" w:color="auto"/>
            </w:tcBorders>
            <w:shd w:val="clear" w:color="auto" w:fill="1F546B"/>
          </w:tcPr>
          <w:p w14:paraId="5AC79C32" w14:textId="77777777" w:rsidR="00AB53FA" w:rsidRPr="007E507E" w:rsidRDefault="00AB53FA" w:rsidP="00520177">
            <w:pPr>
              <w:keepNext/>
              <w:spacing w:before="40" w:after="40"/>
              <w:rPr>
                <w:rFonts w:asciiTheme="minorHAnsi" w:hAnsiTheme="minorHAnsi" w:cs="Arial"/>
                <w:b/>
                <w:color w:val="FFFFFF" w:themeColor="background1"/>
                <w:sz w:val="24"/>
              </w:rPr>
            </w:pPr>
            <w:r>
              <w:rPr>
                <w:rFonts w:asciiTheme="minorHAnsi" w:hAnsiTheme="minorHAnsi" w:cs="Arial"/>
                <w:b/>
                <w:color w:val="FFFFFF" w:themeColor="background1"/>
                <w:sz w:val="24"/>
              </w:rPr>
              <w:t>Date</w:t>
            </w:r>
          </w:p>
        </w:tc>
        <w:tc>
          <w:tcPr>
            <w:tcW w:w="7989" w:type="dxa"/>
            <w:shd w:val="clear" w:color="auto" w:fill="auto"/>
          </w:tcPr>
          <w:p w14:paraId="36C00427" w14:textId="77777777" w:rsidR="00AB53FA" w:rsidRPr="00341B15" w:rsidRDefault="00E714D2" w:rsidP="00520177">
            <w:pPr>
              <w:spacing w:before="40" w:after="40"/>
              <w:rPr>
                <w:rFonts w:asciiTheme="minorHAnsi" w:hAnsiTheme="minorHAnsi" w:cs="Arial"/>
                <w:sz w:val="24"/>
              </w:rPr>
            </w:pPr>
            <w:r w:rsidRPr="00341B15">
              <w:rPr>
                <w:rFonts w:asciiTheme="minorHAnsi" w:hAnsiTheme="minorHAnsi" w:cs="Arial"/>
                <w:sz w:val="24"/>
                <w:highlight w:val="yellow"/>
              </w:rPr>
              <w:t>[insert date]</w:t>
            </w:r>
          </w:p>
        </w:tc>
      </w:tr>
    </w:tbl>
    <w:p w14:paraId="73D84270" w14:textId="77777777" w:rsidR="007D5F97" w:rsidRDefault="007D5F97" w:rsidP="00AB53FA">
      <w:pPr>
        <w:jc w:val="both"/>
        <w:rPr>
          <w:rFonts w:eastAsia="Times New Roman" w:cs="Arial"/>
          <w:color w:val="000000"/>
        </w:rPr>
      </w:pPr>
    </w:p>
    <w:p w14:paraId="4A79B81A" w14:textId="77777777" w:rsidR="007C764A" w:rsidRDefault="00AB53FA" w:rsidP="00AB53FA">
      <w:pPr>
        <w:jc w:val="both"/>
        <w:rPr>
          <w:rFonts w:eastAsia="Times New Roman" w:cs="Arial"/>
          <w:color w:val="000000"/>
        </w:rPr>
      </w:pPr>
      <w:r w:rsidRPr="007E507E">
        <w:rPr>
          <w:rFonts w:eastAsia="Times New Roman" w:cs="Arial"/>
          <w:color w:val="000000"/>
        </w:rPr>
        <w:t xml:space="preserve">Attached is my report outlining progress on </w:t>
      </w:r>
      <w:r>
        <w:rPr>
          <w:rFonts w:eastAsia="Times New Roman" w:cs="Arial"/>
          <w:color w:val="000000"/>
        </w:rPr>
        <w:t xml:space="preserve">building privacy capability within my agency and meeting the core expectations </w:t>
      </w:r>
      <w:r w:rsidR="00545AD8">
        <w:rPr>
          <w:rFonts w:eastAsia="Times New Roman" w:cs="Arial"/>
          <w:color w:val="000000"/>
        </w:rPr>
        <w:t>set by the Government Chief Privacy Officer</w:t>
      </w:r>
      <w:r w:rsidRPr="007E507E">
        <w:rPr>
          <w:rFonts w:eastAsia="Times New Roman" w:cs="Arial"/>
          <w:color w:val="000000"/>
        </w:rPr>
        <w:t>.</w:t>
      </w:r>
      <w:r w:rsidR="00E714D2">
        <w:rPr>
          <w:rFonts w:eastAsia="Times New Roman" w:cs="Arial"/>
          <w:color w:val="000000"/>
        </w:rPr>
        <w:t xml:space="preserve"> </w:t>
      </w:r>
    </w:p>
    <w:p w14:paraId="3A988933" w14:textId="77777777" w:rsidR="00AB53FA" w:rsidRPr="007E507E" w:rsidRDefault="00E714D2" w:rsidP="00AB53FA">
      <w:pPr>
        <w:jc w:val="both"/>
        <w:rPr>
          <w:rFonts w:eastAsia="Times New Roman" w:cs="Arial"/>
          <w:color w:val="000000"/>
        </w:rPr>
      </w:pPr>
      <w:r>
        <w:rPr>
          <w:rFonts w:eastAsia="Times New Roman" w:cs="Arial"/>
          <w:color w:val="000000"/>
        </w:rPr>
        <w:t>Below I have provided further comments about the development of privacy maturity in our agency</w:t>
      </w:r>
      <w:r w:rsidR="00545AD8">
        <w:rPr>
          <w:rFonts w:eastAsia="Times New Roman" w:cs="Arial"/>
          <w:color w:val="000000"/>
        </w:rPr>
        <w:t xml:space="preserve"> and the completion of this assessment</w:t>
      </w:r>
      <w:r>
        <w:rPr>
          <w:rFonts w:eastAsia="Times New Roman" w:cs="Arial"/>
          <w:color w:val="000000"/>
        </w:rPr>
        <w:t>.</w:t>
      </w:r>
    </w:p>
    <w:tbl>
      <w:tblPr>
        <w:tblStyle w:val="DIATable"/>
        <w:tblW w:w="0" w:type="auto"/>
        <w:tblLook w:val="04A0" w:firstRow="1" w:lastRow="0" w:firstColumn="1" w:lastColumn="0" w:noHBand="0" w:noVBand="1"/>
      </w:tblPr>
      <w:tblGrid>
        <w:gridCol w:w="8933"/>
      </w:tblGrid>
      <w:tr w:rsidR="00456B99" w14:paraId="501576BF" w14:textId="77777777" w:rsidTr="00A97164">
        <w:trPr>
          <w:cnfStyle w:val="100000000000" w:firstRow="1" w:lastRow="0" w:firstColumn="0" w:lastColumn="0" w:oddVBand="0" w:evenVBand="0" w:oddHBand="0" w:evenHBand="0" w:firstRowFirstColumn="0" w:firstRowLastColumn="0" w:lastRowFirstColumn="0" w:lastRowLastColumn="0"/>
          <w:trHeight w:val="401"/>
        </w:trPr>
        <w:tc>
          <w:tcPr>
            <w:tcW w:w="10437" w:type="dxa"/>
          </w:tcPr>
          <w:p w14:paraId="08D43582" w14:textId="77777777" w:rsidR="00456B99" w:rsidRDefault="00456B99" w:rsidP="00A97164">
            <w:pPr>
              <w:pStyle w:val="Spacer"/>
              <w:rPr>
                <w:sz w:val="24"/>
              </w:rPr>
            </w:pPr>
            <w:r>
              <w:rPr>
                <w:sz w:val="24"/>
              </w:rPr>
              <w:t xml:space="preserve">I would like to provide the following </w:t>
            </w:r>
            <w:r w:rsidR="00F632E6">
              <w:rPr>
                <w:sz w:val="24"/>
              </w:rPr>
              <w:t>comments</w:t>
            </w:r>
            <w:r>
              <w:rPr>
                <w:sz w:val="24"/>
              </w:rPr>
              <w:t>:</w:t>
            </w:r>
          </w:p>
        </w:tc>
      </w:tr>
      <w:tr w:rsidR="00456B99" w14:paraId="634806EC" w14:textId="77777777" w:rsidTr="00A940A2">
        <w:trPr>
          <w:trHeight w:val="2750"/>
        </w:trPr>
        <w:tc>
          <w:tcPr>
            <w:tcW w:w="10437" w:type="dxa"/>
          </w:tcPr>
          <w:p w14:paraId="627951E7" w14:textId="77777777" w:rsidR="00456B99" w:rsidRDefault="00456B99" w:rsidP="00A97164">
            <w:pPr>
              <w:pStyle w:val="Spacer"/>
              <w:rPr>
                <w:sz w:val="24"/>
              </w:rPr>
            </w:pPr>
          </w:p>
        </w:tc>
      </w:tr>
    </w:tbl>
    <w:p w14:paraId="5D3E7D2D" w14:textId="77777777" w:rsidR="00AB53FA" w:rsidRPr="007E507E" w:rsidRDefault="00AB53FA" w:rsidP="00AB53FA">
      <w:pPr>
        <w:jc w:val="both"/>
        <w:rPr>
          <w:rFonts w:eastAsia="Times New Roman" w:cs="Arial"/>
          <w:color w:val="000000"/>
        </w:rPr>
      </w:pPr>
    </w:p>
    <w:p w14:paraId="41550156" w14:textId="77777777" w:rsidR="00456B99" w:rsidRPr="003B0742" w:rsidRDefault="00456B99" w:rsidP="003A6837">
      <w:pPr>
        <w:pStyle w:val="Heading3"/>
      </w:pPr>
      <w:r w:rsidRPr="003B0742">
        <w:t>Validation Statement</w:t>
      </w:r>
    </w:p>
    <w:p w14:paraId="75211FD9" w14:textId="46BE432C" w:rsidR="00456B99" w:rsidRDefault="007D5F97" w:rsidP="00456B99">
      <w:pPr>
        <w:pStyle w:val="Spacer"/>
      </w:pPr>
      <w:r>
        <w:t xml:space="preserve">I have assurance from my agency that the scores and comments </w:t>
      </w:r>
      <w:r w:rsidR="00341B15">
        <w:t>below</w:t>
      </w:r>
      <w:r>
        <w:t xml:space="preserve"> are true and correct.</w:t>
      </w:r>
    </w:p>
    <w:p w14:paraId="12CFBF59" w14:textId="77777777" w:rsidR="00456B99" w:rsidRPr="00B905B1" w:rsidRDefault="00456B99" w:rsidP="00456B99">
      <w:pPr>
        <w:pStyle w:val="Spacer"/>
        <w:rPr>
          <w:sz w:val="16"/>
        </w:rPr>
      </w:pPr>
    </w:p>
    <w:p w14:paraId="46EC6205" w14:textId="77777777" w:rsidR="00AB53FA" w:rsidRPr="007E507E" w:rsidRDefault="00AB53FA" w:rsidP="00AB53FA">
      <w:pPr>
        <w:rPr>
          <w:rFonts w:eastAsia="Times New Roman" w:cs="Arial"/>
          <w:color w:val="000000"/>
        </w:rPr>
      </w:pPr>
    </w:p>
    <w:p w14:paraId="7579257E" w14:textId="77777777" w:rsidR="007D5F97" w:rsidRDefault="00A940A2" w:rsidP="00A940A2">
      <w:pPr>
        <w:spacing w:after="0"/>
        <w:rPr>
          <w:rFonts w:eastAsia="Times New Roman" w:cs="Arial"/>
          <w:color w:val="000000"/>
        </w:rPr>
      </w:pPr>
      <w:r>
        <w:rPr>
          <w:rFonts w:eastAsia="Times New Roman" w:cs="Arial"/>
          <w:color w:val="000000"/>
        </w:rPr>
        <w:t>S</w:t>
      </w:r>
      <w:r w:rsidR="00AB53FA" w:rsidRPr="007E507E">
        <w:rPr>
          <w:rFonts w:eastAsia="Times New Roman" w:cs="Arial"/>
          <w:color w:val="000000"/>
        </w:rPr>
        <w:t>ign</w:t>
      </w:r>
      <w:r w:rsidR="007D5F97">
        <w:rPr>
          <w:rFonts w:eastAsia="Times New Roman" w:cs="Arial"/>
          <w:color w:val="000000"/>
        </w:rPr>
        <w:t>ature</w:t>
      </w:r>
      <w:r w:rsidR="00AB53FA">
        <w:rPr>
          <w:rFonts w:eastAsia="Times New Roman" w:cs="Arial"/>
          <w:color w:val="000000"/>
        </w:rPr>
        <w:t>:</w:t>
      </w:r>
      <w:r w:rsidR="00456B99">
        <w:rPr>
          <w:rFonts w:eastAsia="Times New Roman" w:cs="Arial"/>
          <w:color w:val="000000"/>
        </w:rPr>
        <w:t xml:space="preserve"> </w:t>
      </w:r>
      <w:r w:rsidR="00AB53FA" w:rsidRPr="007E507E">
        <w:rPr>
          <w:rFonts w:eastAsia="Times New Roman" w:cs="Arial"/>
          <w:color w:val="000000"/>
        </w:rPr>
        <w:t xml:space="preserve"> </w:t>
      </w:r>
    </w:p>
    <w:p w14:paraId="43A03E25" w14:textId="77777777" w:rsidR="007D5F97" w:rsidRDefault="007D5F97" w:rsidP="00A940A2">
      <w:pPr>
        <w:spacing w:after="0"/>
        <w:rPr>
          <w:rFonts w:eastAsia="Times New Roman" w:cs="Arial"/>
          <w:color w:val="000000"/>
        </w:rPr>
      </w:pPr>
    </w:p>
    <w:p w14:paraId="757CF684" w14:textId="3BC9539A" w:rsidR="00AB53FA" w:rsidRDefault="00AB53FA" w:rsidP="00A940A2">
      <w:pPr>
        <w:spacing w:after="0"/>
        <w:rPr>
          <w:rFonts w:eastAsia="Times New Roman" w:cs="Arial"/>
          <w:color w:val="000000"/>
        </w:rPr>
      </w:pPr>
      <w:r>
        <w:rPr>
          <w:rFonts w:eastAsia="Times New Roman" w:cs="Arial"/>
          <w:color w:val="000000"/>
        </w:rPr>
        <w:t>Name:</w:t>
      </w:r>
      <w:r w:rsidR="00E714D2">
        <w:rPr>
          <w:rFonts w:eastAsia="Times New Roman" w:cs="Arial"/>
          <w:color w:val="000000"/>
        </w:rPr>
        <w:t xml:space="preserve"> </w:t>
      </w:r>
      <w:r w:rsidR="0069058B" w:rsidRPr="0069058B">
        <w:rPr>
          <w:rFonts w:eastAsia="Times New Roman" w:cs="Arial"/>
          <w:color w:val="000000"/>
          <w:highlight w:val="yellow"/>
        </w:rPr>
        <w:t>[insert Chief Executive name and title here]</w:t>
      </w:r>
      <w:r w:rsidR="001C781D">
        <w:rPr>
          <w:rFonts w:eastAsia="Times New Roman" w:cs="Arial"/>
          <w:color w:val="000000"/>
        </w:rPr>
        <w:t xml:space="preserve"> </w:t>
      </w:r>
    </w:p>
    <w:p w14:paraId="39D13789" w14:textId="77777777" w:rsidR="0069058B" w:rsidRDefault="0069058B" w:rsidP="00A940A2">
      <w:pPr>
        <w:spacing w:after="0"/>
        <w:rPr>
          <w:rFonts w:eastAsia="Times New Roman" w:cs="Arial"/>
          <w:color w:val="000000"/>
        </w:rPr>
      </w:pPr>
    </w:p>
    <w:p w14:paraId="560A276E" w14:textId="13509560" w:rsidR="00AB53FA" w:rsidRDefault="00AB53FA" w:rsidP="00A940A2">
      <w:pPr>
        <w:spacing w:after="0"/>
        <w:rPr>
          <w:rFonts w:eastAsia="Times New Roman" w:cs="Arial"/>
          <w:color w:val="000000"/>
        </w:rPr>
      </w:pPr>
      <w:r w:rsidRPr="007E507E">
        <w:rPr>
          <w:rFonts w:eastAsia="Times New Roman" w:cs="Arial"/>
          <w:color w:val="000000"/>
        </w:rPr>
        <w:t>Date</w:t>
      </w:r>
      <w:r>
        <w:rPr>
          <w:rFonts w:eastAsia="Times New Roman" w:cs="Arial"/>
          <w:color w:val="000000"/>
        </w:rPr>
        <w:t>:</w:t>
      </w:r>
      <w:r w:rsidR="00E714D2">
        <w:rPr>
          <w:rFonts w:eastAsia="Times New Roman" w:cs="Arial"/>
          <w:color w:val="000000"/>
        </w:rPr>
        <w:t xml:space="preserve"> </w:t>
      </w:r>
      <w:r w:rsidR="001C781D">
        <w:rPr>
          <w:rFonts w:eastAsia="Times New Roman" w:cs="Arial"/>
          <w:color w:val="000000"/>
        </w:rPr>
        <w:t xml:space="preserve"> </w:t>
      </w:r>
      <w:r w:rsidR="0069058B">
        <w:rPr>
          <w:rFonts w:eastAsia="Times New Roman" w:cs="Arial"/>
          <w:color w:val="000000"/>
        </w:rPr>
        <w:t>______ / ______  / ________</w:t>
      </w:r>
    </w:p>
    <w:p w14:paraId="5E977C01" w14:textId="77777777" w:rsidR="00AB53FA" w:rsidRDefault="00AB53FA" w:rsidP="00AB53FA">
      <w:pPr>
        <w:pStyle w:val="Spacer"/>
        <w:rPr>
          <w:rFonts w:eastAsia="Times New Roman"/>
        </w:rPr>
      </w:pPr>
      <w:r>
        <w:rPr>
          <w:rFonts w:eastAsia="Times New Roman"/>
        </w:rPr>
        <w:br w:type="page"/>
      </w:r>
    </w:p>
    <w:p w14:paraId="747D126B" w14:textId="77777777" w:rsidR="00AB53FA" w:rsidRPr="00713327" w:rsidRDefault="00AB53FA" w:rsidP="00AB53FA">
      <w:pPr>
        <w:pStyle w:val="Spacer"/>
        <w:rPr>
          <w:sz w:val="2"/>
        </w:rPr>
      </w:pPr>
    </w:p>
    <w:p w14:paraId="7D388DD3" w14:textId="77777777" w:rsidR="00AB53FA" w:rsidRPr="003A6837" w:rsidRDefault="00AB53FA" w:rsidP="0069058B">
      <w:pPr>
        <w:pStyle w:val="Heading1"/>
        <w:spacing w:before="0"/>
        <w:rPr>
          <w:rFonts w:asciiTheme="minorHAnsi" w:hAnsiTheme="minorHAnsi"/>
          <w:color w:val="1F546B"/>
          <w:sz w:val="40"/>
        </w:rPr>
      </w:pPr>
      <w:r w:rsidRPr="003A6837">
        <w:rPr>
          <w:rFonts w:asciiTheme="minorHAnsi" w:hAnsiTheme="minorHAnsi"/>
          <w:color w:val="1F546B"/>
          <w:sz w:val="40"/>
        </w:rPr>
        <w:t>Agency-specific information collection details</w:t>
      </w:r>
    </w:p>
    <w:p w14:paraId="5EC3F964" w14:textId="77777777" w:rsidR="00AB53FA" w:rsidRPr="003B0742" w:rsidRDefault="00AB53FA" w:rsidP="003A6837">
      <w:pPr>
        <w:pStyle w:val="Heading3"/>
      </w:pPr>
      <w:r w:rsidRPr="003B0742">
        <w:t xml:space="preserve">What type of </w:t>
      </w:r>
      <w:r w:rsidR="003E5476">
        <w:t xml:space="preserve">personal </w:t>
      </w:r>
      <w:r w:rsidRPr="003B0742">
        <w:t>information does your agency collect?</w:t>
      </w:r>
    </w:p>
    <w:tbl>
      <w:tblPr>
        <w:tblStyle w:val="DIATable"/>
        <w:tblW w:w="0" w:type="auto"/>
        <w:tblLook w:val="04A0" w:firstRow="1" w:lastRow="0" w:firstColumn="1" w:lastColumn="0" w:noHBand="0" w:noVBand="1"/>
      </w:tblPr>
      <w:tblGrid>
        <w:gridCol w:w="2487"/>
        <w:gridCol w:w="421"/>
        <w:gridCol w:w="2561"/>
        <w:gridCol w:w="396"/>
        <w:gridCol w:w="2659"/>
        <w:gridCol w:w="409"/>
      </w:tblGrid>
      <w:tr w:rsidR="00AB53FA" w14:paraId="155EB4D8" w14:textId="77777777" w:rsidTr="0069058B">
        <w:trPr>
          <w:cnfStyle w:val="100000000000" w:firstRow="1" w:lastRow="0" w:firstColumn="0" w:lastColumn="0" w:oddVBand="0" w:evenVBand="0" w:oddHBand="0" w:evenHBand="0" w:firstRowFirstColumn="0" w:firstRowLastColumn="0" w:lastRowFirstColumn="0" w:lastRowLastColumn="0"/>
        </w:trPr>
        <w:tc>
          <w:tcPr>
            <w:tcW w:w="2487" w:type="dxa"/>
          </w:tcPr>
          <w:p w14:paraId="1F434E9E" w14:textId="77777777" w:rsidR="00AB53FA" w:rsidRPr="00B905B1" w:rsidRDefault="00AB53FA" w:rsidP="00520177">
            <w:pPr>
              <w:rPr>
                <w:rFonts w:asciiTheme="minorHAnsi" w:hAnsiTheme="minorHAnsi" w:cstheme="minorHAnsi"/>
              </w:rPr>
            </w:pPr>
            <w:r w:rsidRPr="00B905B1">
              <w:rPr>
                <w:rFonts w:asciiTheme="minorHAnsi" w:hAnsiTheme="minorHAnsi" w:cstheme="minorHAnsi"/>
                <w:sz w:val="24"/>
              </w:rPr>
              <w:t>Type of information</w:t>
            </w:r>
          </w:p>
        </w:tc>
        <w:tc>
          <w:tcPr>
            <w:tcW w:w="421" w:type="dxa"/>
          </w:tcPr>
          <w:p w14:paraId="742BBC57" w14:textId="77777777" w:rsidR="00AB53FA" w:rsidRDefault="00AB53FA" w:rsidP="00520177">
            <w:pPr>
              <w:rPr>
                <w:rFonts w:ascii="Arial" w:hAnsi="Arial" w:cs="Arial"/>
              </w:rPr>
            </w:pPr>
            <w:r>
              <w:rPr>
                <w:rFonts w:ascii="Arial" w:hAnsi="Arial" w:cs="Arial"/>
              </w:rPr>
              <w:sym w:font="Wingdings 2" w:char="F050"/>
            </w:r>
          </w:p>
        </w:tc>
        <w:tc>
          <w:tcPr>
            <w:tcW w:w="6025" w:type="dxa"/>
            <w:gridSpan w:val="4"/>
          </w:tcPr>
          <w:p w14:paraId="4CE5579B" w14:textId="77777777" w:rsidR="00AB53FA" w:rsidRDefault="00AB53FA" w:rsidP="00520177">
            <w:pPr>
              <w:rPr>
                <w:rFonts w:ascii="Arial" w:hAnsi="Arial" w:cs="Arial"/>
              </w:rPr>
            </w:pPr>
          </w:p>
        </w:tc>
      </w:tr>
      <w:tr w:rsidR="00AB53FA" w14:paraId="4B09730C" w14:textId="77777777" w:rsidTr="0069058B">
        <w:tc>
          <w:tcPr>
            <w:tcW w:w="2487" w:type="dxa"/>
          </w:tcPr>
          <w:p w14:paraId="6D4C8CA5" w14:textId="77777777" w:rsidR="00AB53FA" w:rsidRPr="00695E3D" w:rsidRDefault="00AB53FA" w:rsidP="00520177">
            <w:pPr>
              <w:rPr>
                <w:rFonts w:cstheme="minorHAnsi"/>
                <w:sz w:val="24"/>
              </w:rPr>
            </w:pPr>
            <w:r w:rsidRPr="00695E3D">
              <w:rPr>
                <w:rFonts w:cstheme="minorHAnsi"/>
                <w:sz w:val="24"/>
              </w:rPr>
              <w:t>Aggregate</w:t>
            </w:r>
          </w:p>
        </w:tc>
        <w:tc>
          <w:tcPr>
            <w:tcW w:w="421" w:type="dxa"/>
          </w:tcPr>
          <w:p w14:paraId="2CBC8F67" w14:textId="77777777" w:rsidR="00AB53FA" w:rsidRPr="00695E3D" w:rsidRDefault="00AB53FA" w:rsidP="00520177">
            <w:pPr>
              <w:rPr>
                <w:rFonts w:cstheme="minorHAnsi"/>
                <w:sz w:val="24"/>
              </w:rPr>
            </w:pPr>
          </w:p>
        </w:tc>
        <w:tc>
          <w:tcPr>
            <w:tcW w:w="2561" w:type="dxa"/>
          </w:tcPr>
          <w:p w14:paraId="58D626D4" w14:textId="77777777" w:rsidR="00AB53FA" w:rsidRPr="00695E3D" w:rsidRDefault="00AB53FA" w:rsidP="00520177">
            <w:pPr>
              <w:rPr>
                <w:rFonts w:cstheme="minorHAnsi"/>
                <w:sz w:val="24"/>
              </w:rPr>
            </w:pPr>
            <w:r w:rsidRPr="00695E3D">
              <w:rPr>
                <w:rFonts w:cstheme="minorHAnsi"/>
                <w:sz w:val="24"/>
              </w:rPr>
              <w:t>Employment</w:t>
            </w:r>
          </w:p>
        </w:tc>
        <w:tc>
          <w:tcPr>
            <w:tcW w:w="396" w:type="dxa"/>
          </w:tcPr>
          <w:p w14:paraId="2A9C66A3" w14:textId="77777777" w:rsidR="00AB53FA" w:rsidRPr="00695E3D" w:rsidRDefault="00AB53FA" w:rsidP="00520177">
            <w:pPr>
              <w:rPr>
                <w:rFonts w:cstheme="minorHAnsi"/>
                <w:sz w:val="24"/>
              </w:rPr>
            </w:pPr>
          </w:p>
        </w:tc>
        <w:tc>
          <w:tcPr>
            <w:tcW w:w="2659" w:type="dxa"/>
          </w:tcPr>
          <w:p w14:paraId="4D1A49F7" w14:textId="77777777" w:rsidR="00AB53FA" w:rsidRPr="00695E3D" w:rsidRDefault="00AB53FA" w:rsidP="00520177">
            <w:pPr>
              <w:rPr>
                <w:rFonts w:cstheme="minorHAnsi"/>
                <w:sz w:val="24"/>
              </w:rPr>
            </w:pPr>
            <w:r w:rsidRPr="00695E3D">
              <w:rPr>
                <w:rFonts w:cstheme="minorHAnsi"/>
                <w:sz w:val="24"/>
              </w:rPr>
              <w:t>Legally privileged</w:t>
            </w:r>
          </w:p>
        </w:tc>
        <w:tc>
          <w:tcPr>
            <w:tcW w:w="409" w:type="dxa"/>
          </w:tcPr>
          <w:p w14:paraId="04945EE7" w14:textId="77777777" w:rsidR="00AB53FA" w:rsidRPr="00695E3D" w:rsidRDefault="00AB53FA" w:rsidP="00520177">
            <w:pPr>
              <w:rPr>
                <w:rFonts w:cstheme="minorHAnsi"/>
                <w:sz w:val="24"/>
              </w:rPr>
            </w:pPr>
          </w:p>
        </w:tc>
      </w:tr>
      <w:tr w:rsidR="00AB53FA" w14:paraId="4B81F627" w14:textId="77777777" w:rsidTr="0069058B">
        <w:tc>
          <w:tcPr>
            <w:tcW w:w="2487" w:type="dxa"/>
          </w:tcPr>
          <w:p w14:paraId="448F76DD" w14:textId="77777777" w:rsidR="00AB53FA" w:rsidRPr="00695E3D" w:rsidRDefault="00AB53FA" w:rsidP="00520177">
            <w:pPr>
              <w:rPr>
                <w:rFonts w:cstheme="minorHAnsi"/>
                <w:sz w:val="24"/>
              </w:rPr>
            </w:pPr>
            <w:r w:rsidRPr="00695E3D">
              <w:rPr>
                <w:rFonts w:cstheme="minorHAnsi"/>
                <w:sz w:val="24"/>
              </w:rPr>
              <w:t>Biographic</w:t>
            </w:r>
          </w:p>
        </w:tc>
        <w:tc>
          <w:tcPr>
            <w:tcW w:w="421" w:type="dxa"/>
          </w:tcPr>
          <w:p w14:paraId="4ECFDE84" w14:textId="77777777" w:rsidR="00AB53FA" w:rsidRPr="00695E3D" w:rsidRDefault="00AB53FA" w:rsidP="00520177">
            <w:pPr>
              <w:rPr>
                <w:rFonts w:cstheme="minorHAnsi"/>
                <w:sz w:val="24"/>
              </w:rPr>
            </w:pPr>
          </w:p>
        </w:tc>
        <w:tc>
          <w:tcPr>
            <w:tcW w:w="2561" w:type="dxa"/>
          </w:tcPr>
          <w:p w14:paraId="17984CD1" w14:textId="77777777" w:rsidR="00AB53FA" w:rsidRPr="00695E3D" w:rsidRDefault="00AB53FA" w:rsidP="00520177">
            <w:pPr>
              <w:rPr>
                <w:rFonts w:cstheme="minorHAnsi"/>
                <w:sz w:val="24"/>
              </w:rPr>
            </w:pPr>
            <w:r w:rsidRPr="00695E3D">
              <w:rPr>
                <w:rFonts w:cstheme="minorHAnsi"/>
                <w:sz w:val="24"/>
              </w:rPr>
              <w:t>Family/whanau</w:t>
            </w:r>
          </w:p>
        </w:tc>
        <w:tc>
          <w:tcPr>
            <w:tcW w:w="396" w:type="dxa"/>
          </w:tcPr>
          <w:p w14:paraId="48C79FC1" w14:textId="77777777" w:rsidR="00AB53FA" w:rsidRPr="00695E3D" w:rsidRDefault="00AB53FA" w:rsidP="00520177">
            <w:pPr>
              <w:rPr>
                <w:rFonts w:cstheme="minorHAnsi"/>
                <w:sz w:val="24"/>
              </w:rPr>
            </w:pPr>
          </w:p>
        </w:tc>
        <w:tc>
          <w:tcPr>
            <w:tcW w:w="2659" w:type="dxa"/>
          </w:tcPr>
          <w:p w14:paraId="2D4880F0" w14:textId="77777777" w:rsidR="00AB53FA" w:rsidRPr="00695E3D" w:rsidRDefault="00AB53FA" w:rsidP="00520177">
            <w:pPr>
              <w:rPr>
                <w:rFonts w:cstheme="minorHAnsi"/>
                <w:sz w:val="24"/>
              </w:rPr>
            </w:pPr>
            <w:r w:rsidRPr="00695E3D">
              <w:rPr>
                <w:rFonts w:cstheme="minorHAnsi"/>
                <w:sz w:val="24"/>
              </w:rPr>
              <w:t>Offending/criminal</w:t>
            </w:r>
          </w:p>
        </w:tc>
        <w:tc>
          <w:tcPr>
            <w:tcW w:w="409" w:type="dxa"/>
          </w:tcPr>
          <w:p w14:paraId="51873826" w14:textId="77777777" w:rsidR="00AB53FA" w:rsidRPr="00695E3D" w:rsidRDefault="00AB53FA" w:rsidP="00520177">
            <w:pPr>
              <w:rPr>
                <w:rFonts w:cstheme="minorHAnsi"/>
                <w:sz w:val="24"/>
              </w:rPr>
            </w:pPr>
          </w:p>
        </w:tc>
      </w:tr>
      <w:tr w:rsidR="00AB53FA" w14:paraId="4FC3ED26" w14:textId="77777777" w:rsidTr="0069058B">
        <w:tc>
          <w:tcPr>
            <w:tcW w:w="2487" w:type="dxa"/>
          </w:tcPr>
          <w:p w14:paraId="53CD02AB" w14:textId="77777777" w:rsidR="00AB53FA" w:rsidRPr="00695E3D" w:rsidRDefault="00AB53FA" w:rsidP="00520177">
            <w:pPr>
              <w:rPr>
                <w:rFonts w:cstheme="minorHAnsi"/>
                <w:sz w:val="24"/>
              </w:rPr>
            </w:pPr>
            <w:r w:rsidRPr="00695E3D">
              <w:rPr>
                <w:rFonts w:cstheme="minorHAnsi"/>
                <w:sz w:val="24"/>
              </w:rPr>
              <w:t>Biometric</w:t>
            </w:r>
          </w:p>
        </w:tc>
        <w:tc>
          <w:tcPr>
            <w:tcW w:w="421" w:type="dxa"/>
          </w:tcPr>
          <w:p w14:paraId="7AEC456A" w14:textId="77777777" w:rsidR="00AB53FA" w:rsidRPr="00695E3D" w:rsidRDefault="00AB53FA" w:rsidP="00520177">
            <w:pPr>
              <w:rPr>
                <w:rFonts w:cstheme="minorHAnsi"/>
                <w:sz w:val="24"/>
              </w:rPr>
            </w:pPr>
          </w:p>
        </w:tc>
        <w:tc>
          <w:tcPr>
            <w:tcW w:w="2561" w:type="dxa"/>
          </w:tcPr>
          <w:p w14:paraId="552FF7E8" w14:textId="77777777" w:rsidR="00AB53FA" w:rsidRPr="00695E3D" w:rsidRDefault="00AB53FA" w:rsidP="00520177">
            <w:pPr>
              <w:rPr>
                <w:rFonts w:cstheme="minorHAnsi"/>
                <w:sz w:val="24"/>
              </w:rPr>
            </w:pPr>
            <w:r w:rsidRPr="00695E3D">
              <w:rPr>
                <w:rFonts w:cstheme="minorHAnsi"/>
                <w:sz w:val="24"/>
              </w:rPr>
              <w:t>Financial</w:t>
            </w:r>
          </w:p>
        </w:tc>
        <w:tc>
          <w:tcPr>
            <w:tcW w:w="396" w:type="dxa"/>
          </w:tcPr>
          <w:p w14:paraId="2C4657A0" w14:textId="77777777" w:rsidR="00AB53FA" w:rsidRPr="00695E3D" w:rsidRDefault="00AB53FA" w:rsidP="00520177">
            <w:pPr>
              <w:rPr>
                <w:rFonts w:cstheme="minorHAnsi"/>
                <w:sz w:val="24"/>
              </w:rPr>
            </w:pPr>
          </w:p>
        </w:tc>
        <w:tc>
          <w:tcPr>
            <w:tcW w:w="2659" w:type="dxa"/>
          </w:tcPr>
          <w:p w14:paraId="219C4E86" w14:textId="77777777" w:rsidR="00AB53FA" w:rsidRPr="00695E3D" w:rsidRDefault="00AB53FA" w:rsidP="00520177">
            <w:pPr>
              <w:rPr>
                <w:rFonts w:cstheme="minorHAnsi"/>
                <w:sz w:val="24"/>
              </w:rPr>
            </w:pPr>
            <w:r w:rsidRPr="00695E3D">
              <w:rPr>
                <w:rFonts w:cstheme="minorHAnsi"/>
                <w:sz w:val="24"/>
              </w:rPr>
              <w:t>Public Registers</w:t>
            </w:r>
          </w:p>
        </w:tc>
        <w:tc>
          <w:tcPr>
            <w:tcW w:w="409" w:type="dxa"/>
          </w:tcPr>
          <w:p w14:paraId="047D2368" w14:textId="77777777" w:rsidR="00AB53FA" w:rsidRPr="00695E3D" w:rsidRDefault="00AB53FA" w:rsidP="00520177">
            <w:pPr>
              <w:rPr>
                <w:rFonts w:cstheme="minorHAnsi"/>
                <w:sz w:val="24"/>
              </w:rPr>
            </w:pPr>
          </w:p>
        </w:tc>
      </w:tr>
      <w:tr w:rsidR="00AB53FA" w14:paraId="4F7B5194" w14:textId="77777777" w:rsidTr="0069058B">
        <w:tc>
          <w:tcPr>
            <w:tcW w:w="2487" w:type="dxa"/>
          </w:tcPr>
          <w:p w14:paraId="2A6DB6A1" w14:textId="77777777" w:rsidR="00AB53FA" w:rsidRPr="00695E3D" w:rsidRDefault="00AB53FA" w:rsidP="00520177">
            <w:pPr>
              <w:rPr>
                <w:rFonts w:cstheme="minorHAnsi"/>
                <w:sz w:val="24"/>
              </w:rPr>
            </w:pPr>
            <w:r w:rsidRPr="00695E3D">
              <w:rPr>
                <w:rFonts w:cstheme="minorHAnsi"/>
                <w:sz w:val="24"/>
              </w:rPr>
              <w:t>Benefits</w:t>
            </w:r>
          </w:p>
        </w:tc>
        <w:tc>
          <w:tcPr>
            <w:tcW w:w="421" w:type="dxa"/>
          </w:tcPr>
          <w:p w14:paraId="4E040093" w14:textId="77777777" w:rsidR="00AB53FA" w:rsidRPr="00695E3D" w:rsidRDefault="00AB53FA" w:rsidP="00520177">
            <w:pPr>
              <w:rPr>
                <w:rFonts w:cstheme="minorHAnsi"/>
                <w:sz w:val="24"/>
              </w:rPr>
            </w:pPr>
          </w:p>
        </w:tc>
        <w:tc>
          <w:tcPr>
            <w:tcW w:w="2561" w:type="dxa"/>
          </w:tcPr>
          <w:p w14:paraId="0A96E930" w14:textId="77777777" w:rsidR="00AB53FA" w:rsidRPr="00695E3D" w:rsidRDefault="00AB53FA" w:rsidP="00520177">
            <w:pPr>
              <w:rPr>
                <w:rFonts w:cstheme="minorHAnsi"/>
                <w:sz w:val="24"/>
              </w:rPr>
            </w:pPr>
            <w:r w:rsidRPr="00695E3D">
              <w:rPr>
                <w:rFonts w:cstheme="minorHAnsi"/>
                <w:sz w:val="24"/>
              </w:rPr>
              <w:t>Grants</w:t>
            </w:r>
          </w:p>
        </w:tc>
        <w:tc>
          <w:tcPr>
            <w:tcW w:w="396" w:type="dxa"/>
          </w:tcPr>
          <w:p w14:paraId="5A7C8B7C" w14:textId="77777777" w:rsidR="00AB53FA" w:rsidRPr="00695E3D" w:rsidRDefault="00AB53FA" w:rsidP="00520177">
            <w:pPr>
              <w:rPr>
                <w:rFonts w:cstheme="minorHAnsi"/>
                <w:sz w:val="24"/>
              </w:rPr>
            </w:pPr>
          </w:p>
        </w:tc>
        <w:tc>
          <w:tcPr>
            <w:tcW w:w="2659" w:type="dxa"/>
          </w:tcPr>
          <w:p w14:paraId="770004F6" w14:textId="77777777" w:rsidR="00AB53FA" w:rsidRPr="00695E3D" w:rsidRDefault="00AB53FA" w:rsidP="00520177">
            <w:pPr>
              <w:rPr>
                <w:rFonts w:cstheme="minorHAnsi"/>
                <w:sz w:val="24"/>
              </w:rPr>
            </w:pPr>
            <w:r w:rsidRPr="00695E3D">
              <w:rPr>
                <w:rFonts w:cstheme="minorHAnsi"/>
                <w:sz w:val="24"/>
              </w:rPr>
              <w:t>Tax</w:t>
            </w:r>
          </w:p>
        </w:tc>
        <w:tc>
          <w:tcPr>
            <w:tcW w:w="409" w:type="dxa"/>
          </w:tcPr>
          <w:p w14:paraId="56CB474E" w14:textId="77777777" w:rsidR="00AB53FA" w:rsidRPr="00695E3D" w:rsidRDefault="00AB53FA" w:rsidP="00520177">
            <w:pPr>
              <w:rPr>
                <w:rFonts w:cstheme="minorHAnsi"/>
                <w:sz w:val="24"/>
              </w:rPr>
            </w:pPr>
          </w:p>
        </w:tc>
      </w:tr>
      <w:tr w:rsidR="00AB53FA" w14:paraId="152D0AAF" w14:textId="77777777" w:rsidTr="0069058B">
        <w:tc>
          <w:tcPr>
            <w:tcW w:w="2487" w:type="dxa"/>
          </w:tcPr>
          <w:p w14:paraId="48F5773A" w14:textId="77777777" w:rsidR="00AB53FA" w:rsidRPr="00695E3D" w:rsidRDefault="00AB53FA" w:rsidP="00520177">
            <w:pPr>
              <w:rPr>
                <w:rFonts w:cstheme="minorHAnsi"/>
                <w:sz w:val="24"/>
              </w:rPr>
            </w:pPr>
            <w:r w:rsidRPr="00695E3D">
              <w:rPr>
                <w:rFonts w:cstheme="minorHAnsi"/>
                <w:sz w:val="24"/>
              </w:rPr>
              <w:t>Children</w:t>
            </w:r>
          </w:p>
        </w:tc>
        <w:tc>
          <w:tcPr>
            <w:tcW w:w="421" w:type="dxa"/>
          </w:tcPr>
          <w:p w14:paraId="0BEBCB75" w14:textId="77777777" w:rsidR="00AB53FA" w:rsidRPr="00695E3D" w:rsidRDefault="00AB53FA" w:rsidP="00520177">
            <w:pPr>
              <w:rPr>
                <w:rFonts w:cstheme="minorHAnsi"/>
                <w:sz w:val="24"/>
              </w:rPr>
            </w:pPr>
          </w:p>
        </w:tc>
        <w:tc>
          <w:tcPr>
            <w:tcW w:w="2561" w:type="dxa"/>
          </w:tcPr>
          <w:p w14:paraId="6FE903BE" w14:textId="77777777" w:rsidR="00AB53FA" w:rsidRPr="00695E3D" w:rsidRDefault="00AB53FA" w:rsidP="00520177">
            <w:pPr>
              <w:rPr>
                <w:rFonts w:cstheme="minorHAnsi"/>
                <w:sz w:val="24"/>
              </w:rPr>
            </w:pPr>
            <w:r w:rsidRPr="00695E3D">
              <w:rPr>
                <w:rFonts w:cstheme="minorHAnsi"/>
                <w:sz w:val="24"/>
              </w:rPr>
              <w:t>Health</w:t>
            </w:r>
          </w:p>
        </w:tc>
        <w:tc>
          <w:tcPr>
            <w:tcW w:w="396" w:type="dxa"/>
          </w:tcPr>
          <w:p w14:paraId="594191B9" w14:textId="77777777" w:rsidR="00AB53FA" w:rsidRPr="00695E3D" w:rsidRDefault="00AB53FA" w:rsidP="00520177">
            <w:pPr>
              <w:rPr>
                <w:rFonts w:cstheme="minorHAnsi"/>
                <w:sz w:val="24"/>
              </w:rPr>
            </w:pPr>
          </w:p>
        </w:tc>
        <w:tc>
          <w:tcPr>
            <w:tcW w:w="2659" w:type="dxa"/>
          </w:tcPr>
          <w:p w14:paraId="4380503B" w14:textId="77777777" w:rsidR="00AB53FA" w:rsidRPr="00695E3D" w:rsidRDefault="00AB53FA" w:rsidP="00520177">
            <w:pPr>
              <w:rPr>
                <w:rFonts w:cstheme="minorHAnsi"/>
                <w:sz w:val="24"/>
              </w:rPr>
            </w:pPr>
            <w:r w:rsidRPr="00695E3D">
              <w:rPr>
                <w:rFonts w:cstheme="minorHAnsi"/>
                <w:sz w:val="24"/>
              </w:rPr>
              <w:t>Unique Identifiers</w:t>
            </w:r>
          </w:p>
        </w:tc>
        <w:tc>
          <w:tcPr>
            <w:tcW w:w="409" w:type="dxa"/>
          </w:tcPr>
          <w:p w14:paraId="2C92C219" w14:textId="77777777" w:rsidR="00AB53FA" w:rsidRPr="00695E3D" w:rsidRDefault="00AB53FA" w:rsidP="00520177">
            <w:pPr>
              <w:rPr>
                <w:rFonts w:cstheme="minorHAnsi"/>
                <w:sz w:val="24"/>
              </w:rPr>
            </w:pPr>
          </w:p>
        </w:tc>
      </w:tr>
      <w:tr w:rsidR="00AB53FA" w14:paraId="075E1899" w14:textId="77777777" w:rsidTr="0069058B">
        <w:tc>
          <w:tcPr>
            <w:tcW w:w="2487" w:type="dxa"/>
          </w:tcPr>
          <w:p w14:paraId="7BFF87A1" w14:textId="77777777" w:rsidR="00AB53FA" w:rsidRPr="00695E3D" w:rsidRDefault="00AB53FA" w:rsidP="00520177">
            <w:pPr>
              <w:rPr>
                <w:rFonts w:cstheme="minorHAnsi"/>
                <w:sz w:val="24"/>
              </w:rPr>
            </w:pPr>
            <w:r w:rsidRPr="00695E3D">
              <w:rPr>
                <w:rFonts w:cstheme="minorHAnsi"/>
                <w:sz w:val="24"/>
              </w:rPr>
              <w:t>De-identified</w:t>
            </w:r>
          </w:p>
        </w:tc>
        <w:tc>
          <w:tcPr>
            <w:tcW w:w="421" w:type="dxa"/>
          </w:tcPr>
          <w:p w14:paraId="15032433" w14:textId="77777777" w:rsidR="00AB53FA" w:rsidRPr="00695E3D" w:rsidRDefault="00AB53FA" w:rsidP="00520177">
            <w:pPr>
              <w:rPr>
                <w:rFonts w:cstheme="minorHAnsi"/>
                <w:sz w:val="24"/>
              </w:rPr>
            </w:pPr>
          </w:p>
        </w:tc>
        <w:tc>
          <w:tcPr>
            <w:tcW w:w="2561" w:type="dxa"/>
          </w:tcPr>
          <w:p w14:paraId="349083FB" w14:textId="77777777" w:rsidR="00AB53FA" w:rsidRPr="00695E3D" w:rsidRDefault="00AB53FA" w:rsidP="00520177">
            <w:pPr>
              <w:rPr>
                <w:rFonts w:cstheme="minorHAnsi"/>
                <w:sz w:val="24"/>
              </w:rPr>
            </w:pPr>
            <w:r w:rsidRPr="00695E3D">
              <w:rPr>
                <w:rFonts w:cstheme="minorHAnsi"/>
                <w:sz w:val="24"/>
              </w:rPr>
              <w:t>Human Resources</w:t>
            </w:r>
          </w:p>
        </w:tc>
        <w:tc>
          <w:tcPr>
            <w:tcW w:w="396" w:type="dxa"/>
          </w:tcPr>
          <w:p w14:paraId="27240AA7" w14:textId="77777777" w:rsidR="00AB53FA" w:rsidRPr="00695E3D" w:rsidRDefault="00AB53FA" w:rsidP="00520177">
            <w:pPr>
              <w:rPr>
                <w:rFonts w:cstheme="minorHAnsi"/>
                <w:sz w:val="24"/>
              </w:rPr>
            </w:pPr>
          </w:p>
        </w:tc>
        <w:tc>
          <w:tcPr>
            <w:tcW w:w="2659" w:type="dxa"/>
          </w:tcPr>
          <w:p w14:paraId="2CB973AC" w14:textId="77777777" w:rsidR="00AB53FA" w:rsidRPr="00695E3D" w:rsidRDefault="00AB53FA" w:rsidP="00520177">
            <w:pPr>
              <w:rPr>
                <w:rFonts w:cstheme="minorHAnsi"/>
                <w:sz w:val="24"/>
              </w:rPr>
            </w:pPr>
            <w:r w:rsidRPr="00695E3D">
              <w:rPr>
                <w:rFonts w:cstheme="minorHAnsi"/>
                <w:sz w:val="24"/>
              </w:rPr>
              <w:t>Other</w:t>
            </w:r>
          </w:p>
        </w:tc>
        <w:tc>
          <w:tcPr>
            <w:tcW w:w="409" w:type="dxa"/>
          </w:tcPr>
          <w:p w14:paraId="61976081" w14:textId="77777777" w:rsidR="00AB53FA" w:rsidRPr="00695E3D" w:rsidRDefault="00AB53FA" w:rsidP="00520177">
            <w:pPr>
              <w:rPr>
                <w:rFonts w:cstheme="minorHAnsi"/>
                <w:sz w:val="24"/>
              </w:rPr>
            </w:pPr>
          </w:p>
        </w:tc>
      </w:tr>
      <w:tr w:rsidR="00AB53FA" w14:paraId="5D4BD7C3" w14:textId="77777777" w:rsidTr="0069058B">
        <w:tc>
          <w:tcPr>
            <w:tcW w:w="2487" w:type="dxa"/>
          </w:tcPr>
          <w:p w14:paraId="3FE24FFE" w14:textId="77777777" w:rsidR="00AB53FA" w:rsidRPr="00695E3D" w:rsidRDefault="00AB53FA" w:rsidP="00520177">
            <w:pPr>
              <w:rPr>
                <w:rFonts w:cstheme="minorHAnsi"/>
                <w:sz w:val="24"/>
              </w:rPr>
            </w:pPr>
            <w:r w:rsidRPr="00695E3D">
              <w:rPr>
                <w:rFonts w:cstheme="minorHAnsi"/>
                <w:sz w:val="24"/>
              </w:rPr>
              <w:t>Education</w:t>
            </w:r>
          </w:p>
        </w:tc>
        <w:tc>
          <w:tcPr>
            <w:tcW w:w="421" w:type="dxa"/>
          </w:tcPr>
          <w:p w14:paraId="682395C4" w14:textId="77777777" w:rsidR="00AB53FA" w:rsidRPr="00695E3D" w:rsidRDefault="00AB53FA" w:rsidP="00520177">
            <w:pPr>
              <w:rPr>
                <w:rFonts w:cstheme="minorHAnsi"/>
                <w:sz w:val="24"/>
              </w:rPr>
            </w:pPr>
          </w:p>
        </w:tc>
        <w:tc>
          <w:tcPr>
            <w:tcW w:w="2561" w:type="dxa"/>
          </w:tcPr>
          <w:p w14:paraId="38357FE2" w14:textId="77777777" w:rsidR="00AB53FA" w:rsidRPr="00695E3D" w:rsidRDefault="00AB53FA" w:rsidP="00520177">
            <w:pPr>
              <w:rPr>
                <w:rFonts w:cstheme="minorHAnsi"/>
                <w:sz w:val="24"/>
              </w:rPr>
            </w:pPr>
            <w:r w:rsidRPr="00695E3D">
              <w:rPr>
                <w:rFonts w:cstheme="minorHAnsi"/>
                <w:sz w:val="24"/>
              </w:rPr>
              <w:t>Intelligence &amp; security</w:t>
            </w:r>
          </w:p>
        </w:tc>
        <w:tc>
          <w:tcPr>
            <w:tcW w:w="396" w:type="dxa"/>
          </w:tcPr>
          <w:p w14:paraId="7777C85B" w14:textId="77777777" w:rsidR="00AB53FA" w:rsidRPr="00695E3D" w:rsidRDefault="00AB53FA" w:rsidP="00520177">
            <w:pPr>
              <w:rPr>
                <w:rFonts w:cstheme="minorHAnsi"/>
                <w:sz w:val="24"/>
              </w:rPr>
            </w:pPr>
          </w:p>
        </w:tc>
        <w:tc>
          <w:tcPr>
            <w:tcW w:w="2659" w:type="dxa"/>
          </w:tcPr>
          <w:p w14:paraId="494E414C" w14:textId="77777777" w:rsidR="00AB53FA" w:rsidRPr="00695E3D" w:rsidRDefault="00AB53FA" w:rsidP="00520177">
            <w:pPr>
              <w:rPr>
                <w:rFonts w:cstheme="minorHAnsi"/>
                <w:sz w:val="24"/>
              </w:rPr>
            </w:pPr>
          </w:p>
        </w:tc>
        <w:tc>
          <w:tcPr>
            <w:tcW w:w="409" w:type="dxa"/>
          </w:tcPr>
          <w:p w14:paraId="5A2BCC5C" w14:textId="77777777" w:rsidR="00AB53FA" w:rsidRPr="00695E3D" w:rsidRDefault="00AB53FA" w:rsidP="00520177">
            <w:pPr>
              <w:rPr>
                <w:rFonts w:cstheme="minorHAnsi"/>
                <w:sz w:val="24"/>
              </w:rPr>
            </w:pPr>
          </w:p>
        </w:tc>
      </w:tr>
    </w:tbl>
    <w:p w14:paraId="607071B9" w14:textId="77777777" w:rsidR="00F632E6" w:rsidRPr="003B0742" w:rsidRDefault="00F632E6" w:rsidP="003A6837">
      <w:pPr>
        <w:pStyle w:val="Heading3"/>
      </w:pPr>
      <w:r>
        <w:t>Would you like to provide over-arching comments? (optional)</w:t>
      </w:r>
    </w:p>
    <w:p w14:paraId="54C7C236" w14:textId="77777777" w:rsidR="003E5476" w:rsidRDefault="00F632E6" w:rsidP="00F632E6">
      <w:r>
        <w:t xml:space="preserve">Explain in the box below any comments that provide over-arching qualifiers and comments that apply to all or multiple criteria and provide context for your specific business. </w:t>
      </w:r>
    </w:p>
    <w:p w14:paraId="0E728310" w14:textId="77777777" w:rsidR="00F632E6" w:rsidRDefault="00F632E6" w:rsidP="00F632E6">
      <w:r>
        <w:t xml:space="preserve">This may be useful for agencies </w:t>
      </w:r>
      <w:r w:rsidR="003E5476">
        <w:t>who only collect HR personal information</w:t>
      </w:r>
      <w:r>
        <w:t xml:space="preserve">, agencies with regulatory functions or powers for mandatory collection of personal information, and agencies with </w:t>
      </w:r>
      <w:r w:rsidR="00191A2C">
        <w:t>a very wide range of responsibilities and functions</w:t>
      </w:r>
      <w:r>
        <w:t>.</w:t>
      </w:r>
    </w:p>
    <w:p w14:paraId="5A1AB070" w14:textId="77777777" w:rsidR="00F632E6" w:rsidRPr="00B905B1" w:rsidRDefault="00F632E6" w:rsidP="00F632E6">
      <w:pPr>
        <w:pStyle w:val="Spacer"/>
        <w:rPr>
          <w:sz w:val="16"/>
        </w:rPr>
      </w:pPr>
    </w:p>
    <w:tbl>
      <w:tblPr>
        <w:tblStyle w:val="DIATable"/>
        <w:tblW w:w="0" w:type="auto"/>
        <w:tblLook w:val="04A0" w:firstRow="1" w:lastRow="0" w:firstColumn="1" w:lastColumn="0" w:noHBand="0" w:noVBand="1"/>
      </w:tblPr>
      <w:tblGrid>
        <w:gridCol w:w="8933"/>
      </w:tblGrid>
      <w:tr w:rsidR="00F632E6" w14:paraId="1EB26CC2" w14:textId="77777777" w:rsidTr="00A97164">
        <w:trPr>
          <w:cnfStyle w:val="100000000000" w:firstRow="1" w:lastRow="0" w:firstColumn="0" w:lastColumn="0" w:oddVBand="0" w:evenVBand="0" w:oddHBand="0" w:evenHBand="0" w:firstRowFirstColumn="0" w:firstRowLastColumn="0" w:lastRowFirstColumn="0" w:lastRowLastColumn="0"/>
          <w:trHeight w:val="401"/>
        </w:trPr>
        <w:tc>
          <w:tcPr>
            <w:tcW w:w="10437" w:type="dxa"/>
          </w:tcPr>
          <w:p w14:paraId="4CEF984C" w14:textId="77777777" w:rsidR="00F632E6" w:rsidRDefault="00F632E6" w:rsidP="00A97164">
            <w:pPr>
              <w:pStyle w:val="Spacer"/>
              <w:rPr>
                <w:sz w:val="24"/>
              </w:rPr>
            </w:pPr>
            <w:r>
              <w:rPr>
                <w:sz w:val="24"/>
              </w:rPr>
              <w:t>Over</w:t>
            </w:r>
            <w:r w:rsidR="003E5476">
              <w:rPr>
                <w:sz w:val="24"/>
              </w:rPr>
              <w:t>-</w:t>
            </w:r>
            <w:r>
              <w:rPr>
                <w:sz w:val="24"/>
              </w:rPr>
              <w:t>arching content comments</w:t>
            </w:r>
          </w:p>
        </w:tc>
      </w:tr>
      <w:tr w:rsidR="00F632E6" w14:paraId="188DAFDA" w14:textId="77777777" w:rsidTr="00A97164">
        <w:trPr>
          <w:trHeight w:val="1912"/>
        </w:trPr>
        <w:tc>
          <w:tcPr>
            <w:tcW w:w="10437" w:type="dxa"/>
          </w:tcPr>
          <w:p w14:paraId="3E031D74" w14:textId="77777777" w:rsidR="00F632E6" w:rsidRDefault="00F632E6" w:rsidP="00A97164">
            <w:pPr>
              <w:pStyle w:val="Spacer"/>
              <w:rPr>
                <w:sz w:val="24"/>
              </w:rPr>
            </w:pPr>
          </w:p>
        </w:tc>
      </w:tr>
    </w:tbl>
    <w:p w14:paraId="0EA00754" w14:textId="77777777" w:rsidR="00F632E6" w:rsidRDefault="00F632E6">
      <w:pPr>
        <w:keepLines w:val="0"/>
        <w:rPr>
          <w:rFonts w:cs="Arial"/>
          <w:b/>
          <w:bCs/>
          <w:iCs/>
          <w:sz w:val="36"/>
          <w:szCs w:val="28"/>
          <w:lang w:eastAsia="en-NZ"/>
        </w:rPr>
      </w:pPr>
      <w:r>
        <w:rPr>
          <w:lang w:eastAsia="en-NZ"/>
        </w:rPr>
        <w:br w:type="page"/>
      </w:r>
    </w:p>
    <w:p w14:paraId="2C45DFC8" w14:textId="77777777" w:rsidR="00E75E95" w:rsidRPr="003A6837" w:rsidRDefault="00E75E95" w:rsidP="003A6837">
      <w:pPr>
        <w:pStyle w:val="Heading1"/>
        <w:rPr>
          <w:rFonts w:asciiTheme="minorHAnsi" w:hAnsiTheme="minorHAnsi"/>
          <w:color w:val="1F546B"/>
          <w:sz w:val="40"/>
          <w:lang w:eastAsia="en-NZ"/>
        </w:rPr>
      </w:pPr>
      <w:r w:rsidRPr="003A6837">
        <w:rPr>
          <w:rFonts w:asciiTheme="minorHAnsi" w:hAnsiTheme="minorHAnsi"/>
          <w:color w:val="1F546B"/>
          <w:sz w:val="40"/>
          <w:lang w:eastAsia="en-NZ"/>
        </w:rPr>
        <w:lastRenderedPageBreak/>
        <w:t>Instructions</w:t>
      </w:r>
    </w:p>
    <w:p w14:paraId="0FA6D353" w14:textId="77777777" w:rsidR="00E75E95" w:rsidRDefault="00F873A3" w:rsidP="00E75E95">
      <w:pPr>
        <w:keepLines w:val="0"/>
        <w:spacing w:before="0" w:after="0"/>
        <w:rPr>
          <w:rFonts w:eastAsia="Times New Roman" w:cs="Calibri"/>
          <w:sz w:val="22"/>
          <w:szCs w:val="22"/>
          <w:lang w:eastAsia="en-NZ"/>
        </w:rPr>
      </w:pPr>
      <w:r>
        <w:rPr>
          <w:rFonts w:eastAsia="Times New Roman" w:cs="Calibri"/>
          <w:sz w:val="22"/>
          <w:szCs w:val="22"/>
          <w:lang w:eastAsia="en-NZ"/>
        </w:rPr>
        <w:t>There are four sections of the Privacy Maturity Self-Assessment Framework</w:t>
      </w:r>
      <w:r w:rsidR="00E75E95" w:rsidRPr="00456B99">
        <w:rPr>
          <w:rFonts w:eastAsia="Times New Roman" w:cs="Calibri"/>
          <w:sz w:val="22"/>
          <w:szCs w:val="22"/>
          <w:lang w:eastAsia="en-NZ"/>
        </w:rPr>
        <w:t>.</w:t>
      </w:r>
      <w:r>
        <w:rPr>
          <w:rFonts w:eastAsia="Times New Roman" w:cs="Calibri"/>
          <w:sz w:val="22"/>
          <w:szCs w:val="22"/>
          <w:lang w:eastAsia="en-NZ"/>
        </w:rPr>
        <w:t xml:space="preserve"> These sections are:</w:t>
      </w:r>
    </w:p>
    <w:p w14:paraId="0E05DE90" w14:textId="77777777" w:rsidR="00E51BB4" w:rsidRDefault="00E51BB4" w:rsidP="00E75E95">
      <w:pPr>
        <w:keepLines w:val="0"/>
        <w:spacing w:before="0" w:after="0"/>
        <w:rPr>
          <w:rFonts w:eastAsia="Times New Roman" w:cs="Calibri"/>
          <w:sz w:val="22"/>
          <w:szCs w:val="22"/>
          <w:lang w:eastAsia="en-NZ"/>
        </w:rPr>
      </w:pPr>
    </w:p>
    <w:p w14:paraId="1237F1C3" w14:textId="77777777" w:rsidR="00F873A3" w:rsidRDefault="00F873A3" w:rsidP="00F873A3">
      <w:pPr>
        <w:pStyle w:val="ListParagraph"/>
        <w:keepLines w:val="0"/>
        <w:numPr>
          <w:ilvl w:val="0"/>
          <w:numId w:val="61"/>
        </w:numPr>
        <w:spacing w:before="0" w:after="0"/>
        <w:rPr>
          <w:rFonts w:eastAsia="Times New Roman" w:cs="Calibri"/>
          <w:sz w:val="22"/>
          <w:szCs w:val="22"/>
          <w:lang w:eastAsia="en-NZ"/>
        </w:rPr>
      </w:pPr>
      <w:r w:rsidRPr="00C70C96">
        <w:rPr>
          <w:rFonts w:eastAsia="Times New Roman" w:cs="Calibri"/>
          <w:b/>
          <w:color w:val="2C7178" w:themeColor="accent1" w:themeShade="80"/>
          <w:sz w:val="22"/>
          <w:szCs w:val="22"/>
          <w:lang w:eastAsia="en-NZ"/>
        </w:rPr>
        <w:t>Core Expectations</w:t>
      </w:r>
      <w:r>
        <w:rPr>
          <w:rFonts w:eastAsia="Times New Roman" w:cs="Calibri"/>
          <w:sz w:val="22"/>
          <w:szCs w:val="22"/>
          <w:lang w:eastAsia="en-NZ"/>
        </w:rPr>
        <w:t>, with five elements to assess;</w:t>
      </w:r>
    </w:p>
    <w:p w14:paraId="07428934" w14:textId="77777777" w:rsidR="00F873A3" w:rsidRDefault="00F873A3" w:rsidP="00F873A3">
      <w:pPr>
        <w:pStyle w:val="ListParagraph"/>
        <w:keepLines w:val="0"/>
        <w:numPr>
          <w:ilvl w:val="0"/>
          <w:numId w:val="61"/>
        </w:numPr>
        <w:spacing w:before="0" w:after="0"/>
        <w:rPr>
          <w:rFonts w:eastAsia="Times New Roman" w:cs="Calibri"/>
          <w:sz w:val="22"/>
          <w:szCs w:val="22"/>
          <w:lang w:eastAsia="en-NZ"/>
        </w:rPr>
      </w:pPr>
      <w:r w:rsidRPr="00C70C96">
        <w:rPr>
          <w:rFonts w:eastAsia="Times New Roman" w:cs="Calibri"/>
          <w:b/>
          <w:color w:val="00B050"/>
          <w:sz w:val="22"/>
          <w:szCs w:val="22"/>
          <w:lang w:eastAsia="en-NZ"/>
        </w:rPr>
        <w:t>Leadership</w:t>
      </w:r>
      <w:r>
        <w:rPr>
          <w:rFonts w:eastAsia="Times New Roman" w:cs="Calibri"/>
          <w:sz w:val="22"/>
          <w:szCs w:val="22"/>
          <w:lang w:eastAsia="en-NZ"/>
        </w:rPr>
        <w:t>, with three elements to assess;</w:t>
      </w:r>
    </w:p>
    <w:p w14:paraId="1E964EAF" w14:textId="77777777" w:rsidR="00F873A3" w:rsidRDefault="00F873A3" w:rsidP="00F873A3">
      <w:pPr>
        <w:pStyle w:val="ListParagraph"/>
        <w:keepLines w:val="0"/>
        <w:numPr>
          <w:ilvl w:val="0"/>
          <w:numId w:val="61"/>
        </w:numPr>
        <w:spacing w:before="0" w:after="0"/>
        <w:rPr>
          <w:rFonts w:eastAsia="Times New Roman" w:cs="Calibri"/>
          <w:sz w:val="22"/>
          <w:szCs w:val="22"/>
          <w:lang w:eastAsia="en-NZ"/>
        </w:rPr>
      </w:pPr>
      <w:r w:rsidRPr="00C70C96">
        <w:rPr>
          <w:rFonts w:eastAsia="Times New Roman" w:cs="Calibri"/>
          <w:b/>
          <w:color w:val="F06A22" w:themeColor="accent6"/>
          <w:sz w:val="22"/>
          <w:szCs w:val="22"/>
          <w:lang w:eastAsia="en-NZ"/>
        </w:rPr>
        <w:t>Planning, policies and practice</w:t>
      </w:r>
      <w:r>
        <w:rPr>
          <w:rFonts w:eastAsia="Times New Roman" w:cs="Calibri"/>
          <w:sz w:val="22"/>
          <w:szCs w:val="22"/>
          <w:lang w:eastAsia="en-NZ"/>
        </w:rPr>
        <w:t>, with two elements to assess; and</w:t>
      </w:r>
    </w:p>
    <w:p w14:paraId="07554B4C" w14:textId="77777777" w:rsidR="00F873A3" w:rsidRDefault="00F873A3" w:rsidP="00F873A3">
      <w:pPr>
        <w:pStyle w:val="ListParagraph"/>
        <w:keepLines w:val="0"/>
        <w:numPr>
          <w:ilvl w:val="0"/>
          <w:numId w:val="61"/>
        </w:numPr>
        <w:spacing w:before="0" w:after="0"/>
        <w:rPr>
          <w:rFonts w:eastAsia="Times New Roman" w:cs="Calibri"/>
          <w:sz w:val="22"/>
          <w:szCs w:val="22"/>
          <w:lang w:eastAsia="en-NZ"/>
        </w:rPr>
      </w:pPr>
      <w:r w:rsidRPr="00C70C96">
        <w:rPr>
          <w:rFonts w:eastAsia="Times New Roman" w:cs="Calibri"/>
          <w:b/>
          <w:color w:val="563774" w:themeColor="accent5"/>
          <w:sz w:val="22"/>
          <w:szCs w:val="22"/>
          <w:lang w:eastAsia="en-NZ"/>
        </w:rPr>
        <w:t>Privacy domains</w:t>
      </w:r>
      <w:r>
        <w:rPr>
          <w:rFonts w:eastAsia="Times New Roman" w:cs="Calibri"/>
          <w:sz w:val="22"/>
          <w:szCs w:val="22"/>
          <w:lang w:eastAsia="en-NZ"/>
        </w:rPr>
        <w:t>, with six elements to assess.</w:t>
      </w:r>
    </w:p>
    <w:p w14:paraId="6E364D2B" w14:textId="77777777" w:rsidR="00F7262A" w:rsidRDefault="00F7262A" w:rsidP="00EF4E8F">
      <w:pPr>
        <w:pStyle w:val="Heading3"/>
        <w:rPr>
          <w:lang w:eastAsia="en-NZ"/>
        </w:rPr>
      </w:pPr>
      <w:r>
        <w:rPr>
          <w:lang w:eastAsia="en-NZ"/>
        </w:rPr>
        <w:t>Assessing criteria maturity level</w:t>
      </w:r>
    </w:p>
    <w:p w14:paraId="343B4B0E" w14:textId="77777777" w:rsidR="00E51BB4" w:rsidRDefault="00F873A3" w:rsidP="00F873A3">
      <w:pPr>
        <w:keepLines w:val="0"/>
        <w:spacing w:before="0" w:after="0"/>
        <w:rPr>
          <w:rFonts w:eastAsia="Times New Roman" w:cs="Calibri"/>
          <w:sz w:val="22"/>
          <w:szCs w:val="22"/>
          <w:lang w:eastAsia="en-NZ"/>
        </w:rPr>
      </w:pPr>
      <w:r>
        <w:rPr>
          <w:rFonts w:eastAsia="Times New Roman" w:cs="Calibri"/>
          <w:sz w:val="22"/>
          <w:szCs w:val="22"/>
          <w:lang w:eastAsia="en-NZ"/>
        </w:rPr>
        <w:t xml:space="preserve">Each element </w:t>
      </w:r>
      <w:r w:rsidR="00627957">
        <w:rPr>
          <w:rFonts w:eastAsia="Times New Roman" w:cs="Calibri"/>
          <w:sz w:val="22"/>
          <w:szCs w:val="22"/>
          <w:lang w:eastAsia="en-NZ"/>
        </w:rPr>
        <w:t xml:space="preserve">within these four sections </w:t>
      </w:r>
      <w:r>
        <w:rPr>
          <w:rFonts w:eastAsia="Times New Roman" w:cs="Calibri"/>
          <w:sz w:val="22"/>
          <w:szCs w:val="22"/>
          <w:lang w:eastAsia="en-NZ"/>
        </w:rPr>
        <w:t>contains up to three criteria each that define what the element means in detail</w:t>
      </w:r>
      <w:r w:rsidR="00E51BB4">
        <w:rPr>
          <w:rFonts w:eastAsia="Times New Roman" w:cs="Calibri"/>
          <w:sz w:val="22"/>
          <w:szCs w:val="22"/>
          <w:lang w:eastAsia="en-NZ"/>
        </w:rPr>
        <w:t>.</w:t>
      </w:r>
    </w:p>
    <w:p w14:paraId="61BB293B" w14:textId="77777777" w:rsidR="00E51BB4" w:rsidRDefault="00E51BB4" w:rsidP="00F873A3">
      <w:pPr>
        <w:keepLines w:val="0"/>
        <w:spacing w:before="0" w:after="0"/>
        <w:rPr>
          <w:rFonts w:eastAsia="Times New Roman" w:cs="Calibri"/>
          <w:sz w:val="22"/>
          <w:szCs w:val="22"/>
          <w:lang w:eastAsia="en-NZ"/>
        </w:rPr>
      </w:pPr>
    </w:p>
    <w:p w14:paraId="6429B1C5" w14:textId="77777777" w:rsidR="00E51BB4" w:rsidRPr="00C70C96" w:rsidRDefault="00E51BB4" w:rsidP="00F873A3">
      <w:pPr>
        <w:keepLines w:val="0"/>
        <w:spacing w:before="0" w:after="0"/>
        <w:rPr>
          <w:rFonts w:eastAsia="Times New Roman" w:cs="Calibri"/>
          <w:sz w:val="22"/>
          <w:szCs w:val="22"/>
          <w:lang w:eastAsia="en-NZ"/>
        </w:rPr>
      </w:pPr>
      <w:r>
        <w:rPr>
          <w:rFonts w:eastAsia="Times New Roman" w:cs="Calibri"/>
          <w:sz w:val="22"/>
          <w:szCs w:val="22"/>
          <w:lang w:eastAsia="en-NZ"/>
        </w:rPr>
        <w:t>Each c</w:t>
      </w:r>
      <w:r w:rsidR="00F873A3">
        <w:rPr>
          <w:rFonts w:eastAsia="Times New Roman" w:cs="Calibri"/>
          <w:sz w:val="22"/>
          <w:szCs w:val="22"/>
          <w:lang w:eastAsia="en-NZ"/>
        </w:rPr>
        <w:t>riteri</w:t>
      </w:r>
      <w:r w:rsidR="00C70C96">
        <w:rPr>
          <w:rFonts w:eastAsia="Times New Roman" w:cs="Calibri"/>
          <w:sz w:val="22"/>
          <w:szCs w:val="22"/>
          <w:lang w:eastAsia="en-NZ"/>
        </w:rPr>
        <w:t>on</w:t>
      </w:r>
      <w:r w:rsidR="00F873A3">
        <w:rPr>
          <w:rFonts w:eastAsia="Times New Roman" w:cs="Calibri"/>
          <w:sz w:val="22"/>
          <w:szCs w:val="22"/>
          <w:lang w:eastAsia="en-NZ"/>
        </w:rPr>
        <w:t xml:space="preserve"> </w:t>
      </w:r>
      <w:r>
        <w:rPr>
          <w:rFonts w:eastAsia="Times New Roman" w:cs="Calibri"/>
          <w:sz w:val="22"/>
          <w:szCs w:val="22"/>
          <w:lang w:eastAsia="en-NZ"/>
        </w:rPr>
        <w:t xml:space="preserve">has a description of what it looks like or describes at three different levels of maturity: </w:t>
      </w:r>
      <w:r w:rsidR="00F873A3" w:rsidRPr="00F7262A">
        <w:rPr>
          <w:rFonts w:eastAsia="Times New Roman" w:cs="Calibri"/>
          <w:sz w:val="22"/>
          <w:szCs w:val="22"/>
          <w:lang w:eastAsia="en-NZ"/>
        </w:rPr>
        <w:t xml:space="preserve">Informal, Foundational, </w:t>
      </w:r>
      <w:r w:rsidR="00F873A3" w:rsidRPr="00C70C96">
        <w:rPr>
          <w:rFonts w:eastAsia="Times New Roman" w:cs="Calibri"/>
          <w:sz w:val="22"/>
          <w:szCs w:val="22"/>
          <w:lang w:eastAsia="en-NZ"/>
        </w:rPr>
        <w:t>or</w:t>
      </w:r>
      <w:r w:rsidR="00F873A3" w:rsidRPr="00F7262A">
        <w:rPr>
          <w:rFonts w:eastAsia="Times New Roman" w:cs="Calibri"/>
          <w:sz w:val="22"/>
          <w:szCs w:val="22"/>
          <w:lang w:eastAsia="en-NZ"/>
        </w:rPr>
        <w:t xml:space="preserve"> Managed</w:t>
      </w:r>
      <w:r w:rsidR="00F873A3" w:rsidRPr="00C70C96">
        <w:rPr>
          <w:rFonts w:eastAsia="Times New Roman" w:cs="Calibri"/>
          <w:sz w:val="22"/>
          <w:szCs w:val="22"/>
          <w:lang w:eastAsia="en-NZ"/>
        </w:rPr>
        <w:t xml:space="preserve">. </w:t>
      </w:r>
    </w:p>
    <w:p w14:paraId="2E95BDA4" w14:textId="77777777" w:rsidR="00C70C96" w:rsidRPr="00F7262A" w:rsidRDefault="00C70C96" w:rsidP="00F873A3">
      <w:pPr>
        <w:keepLines w:val="0"/>
        <w:spacing w:before="0" w:after="0"/>
        <w:rPr>
          <w:rFonts w:eastAsia="Times New Roman" w:cs="Calibri"/>
          <w:sz w:val="22"/>
          <w:szCs w:val="22"/>
          <w:lang w:eastAsia="en-NZ"/>
        </w:rPr>
      </w:pPr>
    </w:p>
    <w:p w14:paraId="419905B5" w14:textId="77777777" w:rsidR="00F873A3" w:rsidRPr="00C70C96" w:rsidRDefault="00F873A3" w:rsidP="00F873A3">
      <w:pPr>
        <w:keepLines w:val="0"/>
        <w:spacing w:before="0" w:after="0"/>
        <w:rPr>
          <w:rFonts w:eastAsia="Times New Roman" w:cs="Calibri"/>
          <w:sz w:val="22"/>
          <w:szCs w:val="22"/>
          <w:lang w:eastAsia="en-NZ"/>
        </w:rPr>
      </w:pPr>
      <w:r>
        <w:rPr>
          <w:rFonts w:eastAsia="Times New Roman" w:cs="Calibri"/>
          <w:sz w:val="22"/>
          <w:szCs w:val="22"/>
          <w:lang w:eastAsia="en-NZ"/>
        </w:rPr>
        <w:t xml:space="preserve">For each </w:t>
      </w:r>
      <w:r w:rsidR="00344D7F">
        <w:rPr>
          <w:rFonts w:eastAsia="Times New Roman" w:cs="Calibri"/>
          <w:sz w:val="22"/>
          <w:szCs w:val="22"/>
          <w:lang w:eastAsia="en-NZ"/>
        </w:rPr>
        <w:t>criteri</w:t>
      </w:r>
      <w:r w:rsidR="00C979C0">
        <w:rPr>
          <w:rFonts w:eastAsia="Times New Roman" w:cs="Calibri"/>
          <w:sz w:val="22"/>
          <w:szCs w:val="22"/>
          <w:lang w:eastAsia="en-NZ"/>
        </w:rPr>
        <w:t>on</w:t>
      </w:r>
      <w:r>
        <w:rPr>
          <w:rFonts w:eastAsia="Times New Roman" w:cs="Calibri"/>
          <w:sz w:val="22"/>
          <w:szCs w:val="22"/>
          <w:lang w:eastAsia="en-NZ"/>
        </w:rPr>
        <w:t xml:space="preserve">, determine what your agency </w:t>
      </w:r>
      <w:r w:rsidR="000F7CD2">
        <w:rPr>
          <w:rFonts w:eastAsia="Times New Roman" w:cs="Calibri"/>
          <w:sz w:val="22"/>
          <w:szCs w:val="22"/>
          <w:lang w:eastAsia="en-NZ"/>
        </w:rPr>
        <w:t>is</w:t>
      </w:r>
      <w:r w:rsidR="00344D7F">
        <w:rPr>
          <w:rFonts w:eastAsia="Times New Roman" w:cs="Calibri"/>
          <w:sz w:val="22"/>
          <w:szCs w:val="22"/>
          <w:lang w:eastAsia="en-NZ"/>
        </w:rPr>
        <w:t xml:space="preserve"> according to the description that fits best and</w:t>
      </w:r>
      <w:r w:rsidR="00E51BB4">
        <w:rPr>
          <w:rFonts w:eastAsia="Times New Roman" w:cs="Calibri"/>
          <w:sz w:val="22"/>
          <w:szCs w:val="22"/>
          <w:lang w:eastAsia="en-NZ"/>
        </w:rPr>
        <w:t xml:space="preserve"> type it in the space detailed </w:t>
      </w:r>
      <w:r w:rsidR="00E51BB4" w:rsidRPr="00C70C96">
        <w:rPr>
          <w:rFonts w:eastAsia="Times New Roman" w:cs="Calibri"/>
          <w:sz w:val="22"/>
          <w:szCs w:val="22"/>
          <w:highlight w:val="yellow"/>
          <w:lang w:eastAsia="en-NZ"/>
        </w:rPr>
        <w:t>“Type rating here”</w:t>
      </w:r>
      <w:r w:rsidR="00E51BB4">
        <w:rPr>
          <w:rFonts w:eastAsia="Times New Roman" w:cs="Calibri"/>
          <w:sz w:val="22"/>
          <w:szCs w:val="22"/>
          <w:lang w:eastAsia="en-NZ"/>
        </w:rPr>
        <w:t>.</w:t>
      </w:r>
      <w:r w:rsidR="00344D7F">
        <w:rPr>
          <w:rFonts w:eastAsia="Times New Roman" w:cs="Calibri"/>
          <w:sz w:val="22"/>
          <w:szCs w:val="22"/>
          <w:lang w:eastAsia="en-NZ"/>
        </w:rPr>
        <w:t xml:space="preserve"> This should be only </w:t>
      </w:r>
      <w:r w:rsidR="00344D7F" w:rsidRPr="00F7262A">
        <w:rPr>
          <w:rFonts w:eastAsia="Times New Roman" w:cs="Calibri"/>
          <w:sz w:val="22"/>
          <w:szCs w:val="22"/>
          <w:lang w:eastAsia="en-NZ"/>
        </w:rPr>
        <w:t>Informal</w:t>
      </w:r>
      <w:r w:rsidR="00344D7F" w:rsidRPr="00C70C96">
        <w:rPr>
          <w:rFonts w:eastAsia="Times New Roman" w:cs="Calibri"/>
          <w:sz w:val="22"/>
          <w:szCs w:val="22"/>
          <w:lang w:eastAsia="en-NZ"/>
        </w:rPr>
        <w:t xml:space="preserve">, </w:t>
      </w:r>
      <w:r w:rsidR="00344D7F" w:rsidRPr="00F7262A">
        <w:rPr>
          <w:rFonts w:eastAsia="Times New Roman" w:cs="Calibri"/>
          <w:sz w:val="22"/>
          <w:szCs w:val="22"/>
          <w:lang w:eastAsia="en-NZ"/>
        </w:rPr>
        <w:t>Foundational</w:t>
      </w:r>
      <w:r w:rsidR="00344D7F" w:rsidRPr="00C70C96">
        <w:rPr>
          <w:rFonts w:eastAsia="Times New Roman" w:cs="Calibri"/>
          <w:sz w:val="22"/>
          <w:szCs w:val="22"/>
          <w:lang w:eastAsia="en-NZ"/>
        </w:rPr>
        <w:t xml:space="preserve"> or </w:t>
      </w:r>
      <w:r w:rsidR="00344D7F" w:rsidRPr="00F7262A">
        <w:rPr>
          <w:rFonts w:eastAsia="Times New Roman" w:cs="Calibri"/>
          <w:sz w:val="22"/>
          <w:szCs w:val="22"/>
          <w:lang w:eastAsia="en-NZ"/>
        </w:rPr>
        <w:t>Managed</w:t>
      </w:r>
      <w:r w:rsidR="00344D7F" w:rsidRPr="00C70C96">
        <w:rPr>
          <w:rFonts w:eastAsia="Times New Roman" w:cs="Calibri"/>
          <w:sz w:val="22"/>
          <w:szCs w:val="22"/>
          <w:lang w:eastAsia="en-NZ"/>
        </w:rPr>
        <w:t>.</w:t>
      </w:r>
      <w:r w:rsidR="00E51BB4" w:rsidRPr="00C70C96">
        <w:rPr>
          <w:rFonts w:eastAsia="Times New Roman" w:cs="Calibri"/>
          <w:sz w:val="22"/>
          <w:szCs w:val="22"/>
          <w:lang w:eastAsia="en-NZ"/>
        </w:rPr>
        <w:t xml:space="preserve"> </w:t>
      </w:r>
    </w:p>
    <w:p w14:paraId="267CD562" w14:textId="77777777" w:rsidR="00E51BB4" w:rsidRPr="00F7262A" w:rsidRDefault="00D0484D" w:rsidP="003A6837">
      <w:pPr>
        <w:pStyle w:val="Heading3"/>
        <w:rPr>
          <w:lang w:eastAsia="en-NZ"/>
        </w:rPr>
      </w:pPr>
      <w:r>
        <w:rPr>
          <w:lang w:eastAsia="en-NZ"/>
        </w:rPr>
        <w:t>Using c</w:t>
      </w:r>
      <w:r w:rsidR="00E51BB4" w:rsidRPr="00F7262A">
        <w:rPr>
          <w:lang w:eastAsia="en-NZ"/>
        </w:rPr>
        <w:t>omments</w:t>
      </w:r>
      <w:r>
        <w:rPr>
          <w:lang w:eastAsia="en-NZ"/>
        </w:rPr>
        <w:t xml:space="preserve"> effectively</w:t>
      </w:r>
      <w:r w:rsidR="00E51BB4" w:rsidRPr="00F7262A">
        <w:rPr>
          <w:lang w:eastAsia="en-NZ"/>
        </w:rPr>
        <w:t xml:space="preserve"> </w:t>
      </w:r>
    </w:p>
    <w:p w14:paraId="1E12E845" w14:textId="77777777" w:rsidR="003A6837" w:rsidRPr="003A6837" w:rsidRDefault="003A6837" w:rsidP="003A6837">
      <w:pPr>
        <w:keepLines w:val="0"/>
        <w:spacing w:before="0" w:after="120"/>
        <w:rPr>
          <w:rFonts w:eastAsia="Times New Roman" w:cs="Calibri"/>
          <w:sz w:val="22"/>
          <w:szCs w:val="22"/>
          <w:lang w:eastAsia="en-NZ"/>
        </w:rPr>
      </w:pPr>
      <w:r>
        <w:rPr>
          <w:rFonts w:eastAsia="Times New Roman" w:cs="Calibri"/>
          <w:sz w:val="22"/>
          <w:szCs w:val="22"/>
          <w:lang w:eastAsia="en-NZ"/>
        </w:rPr>
        <w:t xml:space="preserve">To help you track your agency’s </w:t>
      </w:r>
      <w:r w:rsidRPr="003A6837">
        <w:rPr>
          <w:rFonts w:eastAsia="Times New Roman" w:cs="Calibri"/>
          <w:sz w:val="22"/>
          <w:szCs w:val="22"/>
          <w:lang w:eastAsia="en-NZ"/>
        </w:rPr>
        <w:t>privacy maturity and progress</w:t>
      </w:r>
      <w:r>
        <w:rPr>
          <w:rFonts w:eastAsia="Times New Roman" w:cs="Calibri"/>
          <w:sz w:val="22"/>
          <w:szCs w:val="22"/>
          <w:lang w:eastAsia="en-NZ"/>
        </w:rPr>
        <w:t>, b</w:t>
      </w:r>
      <w:r w:rsidR="00E51BB4" w:rsidRPr="003A6837">
        <w:rPr>
          <w:rFonts w:eastAsia="Times New Roman" w:cs="Calibri"/>
          <w:sz w:val="22"/>
          <w:szCs w:val="22"/>
          <w:lang w:eastAsia="en-NZ"/>
        </w:rPr>
        <w:t xml:space="preserve">elow each element, you can provide comments </w:t>
      </w:r>
      <w:r w:rsidR="00086E69">
        <w:rPr>
          <w:rFonts w:eastAsia="Times New Roman" w:cs="Calibri"/>
          <w:sz w:val="22"/>
          <w:szCs w:val="22"/>
          <w:lang w:eastAsia="en-NZ"/>
        </w:rPr>
        <w:t xml:space="preserve">where it says </w:t>
      </w:r>
      <w:r w:rsidR="00086E69">
        <w:rPr>
          <w:rFonts w:eastAsia="Times New Roman" w:cs="Calibri"/>
          <w:sz w:val="22"/>
          <w:szCs w:val="22"/>
          <w:highlight w:val="yellow"/>
          <w:lang w:eastAsia="en-NZ"/>
        </w:rPr>
        <w:t>(</w:t>
      </w:r>
      <w:r w:rsidR="00086E69" w:rsidRPr="003A6837">
        <w:rPr>
          <w:rFonts w:eastAsia="Times New Roman" w:cs="Calibri"/>
          <w:sz w:val="22"/>
          <w:szCs w:val="22"/>
          <w:highlight w:val="yellow"/>
          <w:lang w:eastAsia="en-NZ"/>
        </w:rPr>
        <w:t>insert comment here</w:t>
      </w:r>
      <w:r w:rsidR="00086E69">
        <w:rPr>
          <w:rFonts w:eastAsia="Times New Roman" w:cs="Calibri"/>
          <w:sz w:val="22"/>
          <w:szCs w:val="22"/>
          <w:highlight w:val="yellow"/>
          <w:lang w:eastAsia="en-NZ"/>
        </w:rPr>
        <w:t>)</w:t>
      </w:r>
      <w:r>
        <w:rPr>
          <w:rFonts w:eastAsia="Times New Roman" w:cs="Calibri"/>
          <w:sz w:val="22"/>
          <w:szCs w:val="22"/>
          <w:lang w:eastAsia="en-NZ"/>
        </w:rPr>
        <w:t>.</w:t>
      </w:r>
    </w:p>
    <w:p w14:paraId="56656679" w14:textId="77777777" w:rsidR="003A6837" w:rsidRDefault="003A6837" w:rsidP="003A6837">
      <w:pPr>
        <w:keepLines w:val="0"/>
        <w:spacing w:before="0" w:after="120"/>
        <w:rPr>
          <w:rFonts w:eastAsia="Times New Roman" w:cs="Calibri"/>
          <w:sz w:val="22"/>
          <w:szCs w:val="22"/>
          <w:lang w:eastAsia="en-NZ"/>
        </w:rPr>
      </w:pPr>
      <w:r w:rsidRPr="003A6837">
        <w:rPr>
          <w:rFonts w:eastAsia="Times New Roman" w:cs="Calibri"/>
          <w:sz w:val="22"/>
          <w:szCs w:val="22"/>
          <w:lang w:eastAsia="en-NZ"/>
        </w:rPr>
        <w:t xml:space="preserve">These are not mandatory, but they are recommended. </w:t>
      </w:r>
    </w:p>
    <w:p w14:paraId="0B190DC5" w14:textId="77777777" w:rsidR="003A6837" w:rsidRPr="003A6837" w:rsidRDefault="003A6837" w:rsidP="003A6837">
      <w:pPr>
        <w:keepLines w:val="0"/>
        <w:spacing w:before="0" w:after="120"/>
        <w:rPr>
          <w:rFonts w:eastAsia="Times New Roman" w:cs="Calibri"/>
          <w:sz w:val="22"/>
          <w:szCs w:val="22"/>
          <w:lang w:eastAsia="en-NZ"/>
        </w:rPr>
      </w:pPr>
      <w:r>
        <w:rPr>
          <w:rFonts w:eastAsia="Times New Roman" w:cs="Calibri"/>
          <w:sz w:val="22"/>
          <w:szCs w:val="22"/>
          <w:lang w:eastAsia="en-NZ"/>
        </w:rPr>
        <w:t>The comments you provide help define the detail for your agency’s privacy maturity progress and where your agency may improve in future. The detail in these comments is the most important part of the self-assessment to describe your agency with its successes and challenges. Your comments also</w:t>
      </w:r>
      <w:r w:rsidRPr="003A6837">
        <w:rPr>
          <w:rFonts w:eastAsia="Times New Roman" w:cs="Calibri"/>
          <w:sz w:val="22"/>
          <w:szCs w:val="22"/>
          <w:lang w:eastAsia="en-NZ"/>
        </w:rPr>
        <w:t xml:space="preserve"> allow the GCPO to develop richer system insights.</w:t>
      </w:r>
    </w:p>
    <w:p w14:paraId="5B3201ED" w14:textId="77777777" w:rsidR="00EB423F" w:rsidRPr="003A6837" w:rsidRDefault="00EB423F" w:rsidP="003A6837">
      <w:pPr>
        <w:keepLines w:val="0"/>
        <w:spacing w:before="0" w:after="120"/>
        <w:rPr>
          <w:rFonts w:eastAsia="Times New Roman" w:cs="Calibri"/>
          <w:sz w:val="22"/>
          <w:szCs w:val="22"/>
          <w:lang w:eastAsia="en-NZ"/>
        </w:rPr>
      </w:pPr>
      <w:r w:rsidRPr="003A6837">
        <w:rPr>
          <w:rFonts w:eastAsia="Times New Roman" w:cs="Calibri"/>
          <w:sz w:val="22"/>
          <w:szCs w:val="22"/>
          <w:lang w:eastAsia="en-NZ"/>
        </w:rPr>
        <w:t xml:space="preserve">You have the option to </w:t>
      </w:r>
      <w:r w:rsidR="00344D7F">
        <w:rPr>
          <w:rFonts w:eastAsia="Times New Roman" w:cs="Calibri"/>
          <w:sz w:val="22"/>
          <w:szCs w:val="22"/>
          <w:lang w:eastAsia="en-NZ"/>
        </w:rPr>
        <w:t xml:space="preserve">provide </w:t>
      </w:r>
      <w:r w:rsidR="00E51BB4">
        <w:rPr>
          <w:rFonts w:eastAsia="Times New Roman" w:cs="Calibri"/>
          <w:sz w:val="22"/>
          <w:szCs w:val="22"/>
          <w:lang w:eastAsia="en-NZ"/>
        </w:rPr>
        <w:t>up to</w:t>
      </w:r>
      <w:r w:rsidRPr="003A6837">
        <w:rPr>
          <w:rFonts w:eastAsia="Times New Roman" w:cs="Calibri"/>
          <w:sz w:val="22"/>
          <w:szCs w:val="22"/>
          <w:lang w:eastAsia="en-NZ"/>
        </w:rPr>
        <w:t xml:space="preserve"> </w:t>
      </w:r>
      <w:r w:rsidR="00E51BB4">
        <w:rPr>
          <w:rFonts w:eastAsia="Times New Roman" w:cs="Calibri"/>
          <w:sz w:val="22"/>
          <w:szCs w:val="22"/>
          <w:lang w:eastAsia="en-NZ"/>
        </w:rPr>
        <w:t>four</w:t>
      </w:r>
      <w:r w:rsidR="00E51BB4" w:rsidRPr="003A6837">
        <w:rPr>
          <w:rFonts w:eastAsia="Times New Roman" w:cs="Calibri"/>
          <w:sz w:val="22"/>
          <w:szCs w:val="22"/>
          <w:lang w:eastAsia="en-NZ"/>
        </w:rPr>
        <w:t xml:space="preserve"> </w:t>
      </w:r>
      <w:r w:rsidRPr="003A6837">
        <w:rPr>
          <w:rFonts w:eastAsia="Times New Roman" w:cs="Calibri"/>
          <w:sz w:val="22"/>
          <w:szCs w:val="22"/>
          <w:lang w:eastAsia="en-NZ"/>
        </w:rPr>
        <w:t xml:space="preserve">different types of comments for each </w:t>
      </w:r>
      <w:r w:rsidR="00086E69">
        <w:rPr>
          <w:rFonts w:eastAsia="Times New Roman" w:cs="Calibri"/>
          <w:sz w:val="22"/>
          <w:szCs w:val="22"/>
          <w:lang w:eastAsia="en-NZ"/>
        </w:rPr>
        <w:t>element</w:t>
      </w:r>
      <w:r w:rsidRPr="003A6837">
        <w:rPr>
          <w:rFonts w:eastAsia="Times New Roman" w:cs="Calibri"/>
          <w:sz w:val="22"/>
          <w:szCs w:val="22"/>
          <w:lang w:eastAsia="en-NZ"/>
        </w:rPr>
        <w:t>:</w:t>
      </w:r>
    </w:p>
    <w:p w14:paraId="2880C641" w14:textId="77777777" w:rsidR="00EB423F" w:rsidRPr="00EB423F" w:rsidRDefault="00EB423F" w:rsidP="00C55219">
      <w:pPr>
        <w:pStyle w:val="ListParagraph"/>
        <w:keepLines w:val="0"/>
        <w:numPr>
          <w:ilvl w:val="0"/>
          <w:numId w:val="60"/>
        </w:numPr>
        <w:spacing w:before="0" w:after="120"/>
        <w:rPr>
          <w:rFonts w:eastAsia="Times New Roman" w:cs="Calibri"/>
          <w:sz w:val="22"/>
          <w:szCs w:val="22"/>
          <w:lang w:eastAsia="en-NZ"/>
        </w:rPr>
      </w:pPr>
      <w:r w:rsidRPr="003A6837">
        <w:rPr>
          <w:rFonts w:eastAsia="Times New Roman" w:cs="Calibri"/>
          <w:b/>
          <w:sz w:val="22"/>
          <w:szCs w:val="22"/>
          <w:lang w:eastAsia="en-NZ"/>
        </w:rPr>
        <w:t>Context:</w:t>
      </w:r>
      <w:r w:rsidRPr="00EB423F">
        <w:rPr>
          <w:rFonts w:eastAsia="Times New Roman" w:cs="Calibri"/>
          <w:sz w:val="22"/>
          <w:szCs w:val="22"/>
          <w:lang w:eastAsia="en-NZ"/>
        </w:rPr>
        <w:t xml:space="preserve"> where agencies can make overarching comments and give explanation</w:t>
      </w:r>
      <w:r w:rsidR="00627957">
        <w:rPr>
          <w:rFonts w:eastAsia="Times New Roman" w:cs="Calibri"/>
          <w:sz w:val="22"/>
          <w:szCs w:val="22"/>
          <w:lang w:eastAsia="en-NZ"/>
        </w:rPr>
        <w:t>s</w:t>
      </w:r>
      <w:r w:rsidR="00344D7F">
        <w:rPr>
          <w:rFonts w:eastAsia="Times New Roman" w:cs="Calibri"/>
          <w:sz w:val="22"/>
          <w:szCs w:val="22"/>
          <w:lang w:eastAsia="en-NZ"/>
        </w:rPr>
        <w:t>;</w:t>
      </w:r>
    </w:p>
    <w:p w14:paraId="6F426754" w14:textId="77777777" w:rsidR="00EB423F" w:rsidRPr="00EB423F" w:rsidRDefault="00EB423F" w:rsidP="00C55219">
      <w:pPr>
        <w:pStyle w:val="ListParagraph"/>
        <w:keepLines w:val="0"/>
        <w:numPr>
          <w:ilvl w:val="0"/>
          <w:numId w:val="60"/>
        </w:numPr>
        <w:spacing w:before="0" w:after="120"/>
        <w:rPr>
          <w:rFonts w:eastAsia="Times New Roman" w:cs="Calibri"/>
          <w:sz w:val="22"/>
          <w:szCs w:val="22"/>
          <w:lang w:eastAsia="en-NZ"/>
        </w:rPr>
      </w:pPr>
      <w:r w:rsidRPr="003A6837">
        <w:rPr>
          <w:rFonts w:eastAsia="Times New Roman" w:cs="Calibri"/>
          <w:b/>
          <w:sz w:val="22"/>
          <w:szCs w:val="22"/>
          <w:lang w:eastAsia="en-NZ"/>
        </w:rPr>
        <w:t>Achievement:</w:t>
      </w:r>
      <w:r w:rsidRPr="00EB423F">
        <w:rPr>
          <w:rFonts w:eastAsia="Times New Roman" w:cs="Calibri"/>
          <w:sz w:val="22"/>
          <w:szCs w:val="22"/>
          <w:lang w:eastAsia="en-NZ"/>
        </w:rPr>
        <w:t xml:space="preserve"> where agencies can note their achievements</w:t>
      </w:r>
      <w:r w:rsidR="00627957">
        <w:rPr>
          <w:rFonts w:eastAsia="Times New Roman" w:cs="Calibri"/>
          <w:sz w:val="22"/>
          <w:szCs w:val="22"/>
          <w:lang w:eastAsia="en-NZ"/>
        </w:rPr>
        <w:t xml:space="preserve"> for this element</w:t>
      </w:r>
      <w:r w:rsidR="00344D7F">
        <w:rPr>
          <w:rFonts w:eastAsia="Times New Roman" w:cs="Calibri"/>
          <w:sz w:val="22"/>
          <w:szCs w:val="22"/>
          <w:lang w:eastAsia="en-NZ"/>
        </w:rPr>
        <w:t>;</w:t>
      </w:r>
    </w:p>
    <w:p w14:paraId="6182F8CD" w14:textId="77777777" w:rsidR="00EB423F" w:rsidRPr="00EB423F" w:rsidRDefault="00EB423F" w:rsidP="00C55219">
      <w:pPr>
        <w:pStyle w:val="ListParagraph"/>
        <w:keepLines w:val="0"/>
        <w:numPr>
          <w:ilvl w:val="0"/>
          <w:numId w:val="60"/>
        </w:numPr>
        <w:spacing w:before="0" w:after="120"/>
        <w:rPr>
          <w:rFonts w:eastAsia="Times New Roman" w:cs="Calibri"/>
          <w:sz w:val="22"/>
          <w:szCs w:val="22"/>
          <w:lang w:eastAsia="en-NZ"/>
        </w:rPr>
      </w:pPr>
      <w:r w:rsidRPr="003A6837">
        <w:rPr>
          <w:rFonts w:eastAsia="Times New Roman" w:cs="Calibri"/>
          <w:b/>
          <w:sz w:val="22"/>
          <w:szCs w:val="22"/>
          <w:lang w:eastAsia="en-NZ"/>
        </w:rPr>
        <w:t>Future focus:</w:t>
      </w:r>
      <w:r w:rsidRPr="00EB423F">
        <w:rPr>
          <w:rFonts w:eastAsia="Times New Roman" w:cs="Calibri"/>
          <w:sz w:val="22"/>
          <w:szCs w:val="22"/>
          <w:lang w:eastAsia="en-NZ"/>
        </w:rPr>
        <w:t xml:space="preserve"> where agencies can note what elements or </w:t>
      </w:r>
      <w:r w:rsidR="00627957">
        <w:rPr>
          <w:rFonts w:eastAsia="Times New Roman" w:cs="Calibri"/>
          <w:sz w:val="22"/>
          <w:szCs w:val="22"/>
          <w:lang w:eastAsia="en-NZ"/>
        </w:rPr>
        <w:t>criteria</w:t>
      </w:r>
      <w:r w:rsidR="00627957" w:rsidRPr="00EB423F">
        <w:rPr>
          <w:rFonts w:eastAsia="Times New Roman" w:cs="Calibri"/>
          <w:sz w:val="22"/>
          <w:szCs w:val="22"/>
          <w:lang w:eastAsia="en-NZ"/>
        </w:rPr>
        <w:t xml:space="preserve"> </w:t>
      </w:r>
      <w:r w:rsidRPr="00EB423F">
        <w:rPr>
          <w:rFonts w:eastAsia="Times New Roman" w:cs="Calibri"/>
          <w:sz w:val="22"/>
          <w:szCs w:val="22"/>
          <w:lang w:eastAsia="en-NZ"/>
        </w:rPr>
        <w:t xml:space="preserve">will be their focus for </w:t>
      </w:r>
      <w:r w:rsidR="00627957">
        <w:rPr>
          <w:rFonts w:eastAsia="Times New Roman" w:cs="Calibri"/>
          <w:sz w:val="22"/>
          <w:szCs w:val="22"/>
          <w:lang w:eastAsia="en-NZ"/>
        </w:rPr>
        <w:t>one</w:t>
      </w:r>
      <w:r w:rsidRPr="00EB423F">
        <w:rPr>
          <w:rFonts w:eastAsia="Times New Roman" w:cs="Calibri"/>
          <w:sz w:val="22"/>
          <w:szCs w:val="22"/>
          <w:lang w:eastAsia="en-NZ"/>
        </w:rPr>
        <w:t xml:space="preserve">-year and/or </w:t>
      </w:r>
      <w:r w:rsidR="00627957">
        <w:rPr>
          <w:rFonts w:eastAsia="Times New Roman" w:cs="Calibri"/>
          <w:sz w:val="22"/>
          <w:szCs w:val="22"/>
          <w:lang w:eastAsia="en-NZ"/>
        </w:rPr>
        <w:t>three</w:t>
      </w:r>
      <w:r w:rsidRPr="00EB423F">
        <w:rPr>
          <w:rFonts w:eastAsia="Times New Roman" w:cs="Calibri"/>
          <w:sz w:val="22"/>
          <w:szCs w:val="22"/>
          <w:lang w:eastAsia="en-NZ"/>
        </w:rPr>
        <w:t>-year plans</w:t>
      </w:r>
      <w:r w:rsidR="00344D7F">
        <w:rPr>
          <w:rFonts w:eastAsia="Times New Roman" w:cs="Calibri"/>
          <w:sz w:val="22"/>
          <w:szCs w:val="22"/>
          <w:lang w:eastAsia="en-NZ"/>
        </w:rPr>
        <w:t>; and</w:t>
      </w:r>
    </w:p>
    <w:p w14:paraId="788FB0E7" w14:textId="77777777" w:rsidR="00EB423F" w:rsidRDefault="00EB423F" w:rsidP="00C55219">
      <w:pPr>
        <w:pStyle w:val="ListParagraph"/>
        <w:keepLines w:val="0"/>
        <w:numPr>
          <w:ilvl w:val="0"/>
          <w:numId w:val="60"/>
        </w:numPr>
        <w:spacing w:before="0" w:after="120"/>
        <w:rPr>
          <w:rFonts w:eastAsia="Times New Roman" w:cs="Calibri"/>
          <w:sz w:val="22"/>
          <w:szCs w:val="22"/>
          <w:lang w:eastAsia="en-NZ"/>
        </w:rPr>
      </w:pPr>
      <w:r w:rsidRPr="003A6837">
        <w:rPr>
          <w:rFonts w:eastAsia="Times New Roman" w:cs="Calibri"/>
          <w:b/>
          <w:sz w:val="22"/>
          <w:szCs w:val="22"/>
          <w:lang w:eastAsia="en-NZ"/>
        </w:rPr>
        <w:t>Challenge:</w:t>
      </w:r>
      <w:r w:rsidRPr="00EB423F">
        <w:rPr>
          <w:rFonts w:eastAsia="Times New Roman" w:cs="Calibri"/>
          <w:sz w:val="22"/>
          <w:szCs w:val="22"/>
          <w:lang w:eastAsia="en-NZ"/>
        </w:rPr>
        <w:t xml:space="preserve"> where agencies can note that this element and/or </w:t>
      </w:r>
      <w:r w:rsidR="00627957">
        <w:rPr>
          <w:rFonts w:eastAsia="Times New Roman" w:cs="Calibri"/>
          <w:sz w:val="22"/>
          <w:szCs w:val="22"/>
          <w:lang w:eastAsia="en-NZ"/>
        </w:rPr>
        <w:t xml:space="preserve">specific </w:t>
      </w:r>
      <w:r w:rsidR="00344D7F">
        <w:rPr>
          <w:rFonts w:eastAsia="Times New Roman" w:cs="Calibri"/>
          <w:sz w:val="22"/>
          <w:szCs w:val="22"/>
          <w:lang w:eastAsia="en-NZ"/>
        </w:rPr>
        <w:t>criteria</w:t>
      </w:r>
      <w:r w:rsidR="00344D7F" w:rsidRPr="00EB423F">
        <w:rPr>
          <w:rFonts w:eastAsia="Times New Roman" w:cs="Calibri"/>
          <w:sz w:val="22"/>
          <w:szCs w:val="22"/>
          <w:lang w:eastAsia="en-NZ"/>
        </w:rPr>
        <w:t xml:space="preserve"> </w:t>
      </w:r>
      <w:r w:rsidRPr="00EB423F">
        <w:rPr>
          <w:rFonts w:eastAsia="Times New Roman" w:cs="Calibri"/>
          <w:sz w:val="22"/>
          <w:szCs w:val="22"/>
          <w:lang w:eastAsia="en-NZ"/>
        </w:rPr>
        <w:t>is a particular challenge</w:t>
      </w:r>
      <w:r w:rsidR="00627957">
        <w:rPr>
          <w:rFonts w:eastAsia="Times New Roman" w:cs="Calibri"/>
          <w:sz w:val="22"/>
          <w:szCs w:val="22"/>
          <w:lang w:eastAsia="en-NZ"/>
        </w:rPr>
        <w:t>,</w:t>
      </w:r>
      <w:r w:rsidRPr="00EB423F">
        <w:rPr>
          <w:rFonts w:eastAsia="Times New Roman" w:cs="Calibri"/>
          <w:sz w:val="22"/>
          <w:szCs w:val="22"/>
          <w:lang w:eastAsia="en-NZ"/>
        </w:rPr>
        <w:t xml:space="preserve"> and why.</w:t>
      </w:r>
    </w:p>
    <w:p w14:paraId="3B82855B" w14:textId="77777777" w:rsidR="00E51BB4" w:rsidRPr="00EF4E8F" w:rsidRDefault="00EF4E8F" w:rsidP="00EF4E8F">
      <w:pPr>
        <w:pStyle w:val="Heading3"/>
        <w:rPr>
          <w:rFonts w:cs="Times New Roman"/>
          <w:szCs w:val="24"/>
          <w:lang w:eastAsia="en-NZ"/>
        </w:rPr>
      </w:pPr>
      <w:r>
        <w:rPr>
          <w:lang w:eastAsia="en-NZ"/>
        </w:rPr>
        <w:t xml:space="preserve">Using </w:t>
      </w:r>
      <w:r w:rsidR="00FC3414">
        <w:rPr>
          <w:lang w:eastAsia="en-NZ"/>
        </w:rPr>
        <w:t xml:space="preserve">the </w:t>
      </w:r>
      <w:r>
        <w:rPr>
          <w:lang w:eastAsia="en-NZ"/>
        </w:rPr>
        <w:t>Excel calculator to determine maturity levels</w:t>
      </w:r>
    </w:p>
    <w:p w14:paraId="1942BC38" w14:textId="77777777" w:rsidR="00EF4E8F" w:rsidRDefault="00EF4E8F" w:rsidP="00344D7F">
      <w:pPr>
        <w:pStyle w:val="Spacer"/>
        <w:rPr>
          <w:rFonts w:eastAsia="Times New Roman" w:cs="Calibri"/>
          <w:sz w:val="22"/>
          <w:szCs w:val="22"/>
          <w:lang w:eastAsia="en-NZ"/>
        </w:rPr>
      </w:pPr>
      <w:r w:rsidRPr="00456B99">
        <w:rPr>
          <w:rFonts w:eastAsia="Times New Roman" w:cs="Calibri"/>
          <w:sz w:val="22"/>
          <w:szCs w:val="22"/>
          <w:lang w:eastAsia="en-NZ"/>
        </w:rPr>
        <w:t xml:space="preserve">This </w:t>
      </w:r>
      <w:r>
        <w:rPr>
          <w:rFonts w:eastAsia="Times New Roman" w:cs="Calibri"/>
          <w:sz w:val="22"/>
          <w:szCs w:val="22"/>
          <w:lang w:eastAsia="en-NZ"/>
        </w:rPr>
        <w:t xml:space="preserve">Word </w:t>
      </w:r>
      <w:r w:rsidRPr="00456B99">
        <w:rPr>
          <w:rFonts w:eastAsia="Times New Roman" w:cs="Calibri"/>
          <w:sz w:val="22"/>
          <w:szCs w:val="22"/>
          <w:lang w:eastAsia="en-NZ"/>
        </w:rPr>
        <w:t xml:space="preserve">document </w:t>
      </w:r>
      <w:r>
        <w:rPr>
          <w:rFonts w:eastAsia="Times New Roman" w:cs="Calibri"/>
          <w:sz w:val="22"/>
          <w:szCs w:val="22"/>
          <w:lang w:eastAsia="en-NZ"/>
        </w:rPr>
        <w:t>can</w:t>
      </w:r>
      <w:r w:rsidRPr="00456B99">
        <w:rPr>
          <w:rFonts w:eastAsia="Times New Roman" w:cs="Calibri"/>
          <w:sz w:val="22"/>
          <w:szCs w:val="22"/>
          <w:lang w:eastAsia="en-NZ"/>
        </w:rPr>
        <w:t xml:space="preserve">not calculate maturity </w:t>
      </w:r>
      <w:r w:rsidR="00952BC6">
        <w:rPr>
          <w:rFonts w:eastAsia="Times New Roman" w:cs="Calibri"/>
          <w:sz w:val="22"/>
          <w:szCs w:val="22"/>
          <w:lang w:eastAsia="en-NZ"/>
        </w:rPr>
        <w:t>levels for elements and sections</w:t>
      </w:r>
      <w:r>
        <w:rPr>
          <w:rFonts w:eastAsia="Times New Roman" w:cs="Calibri"/>
          <w:sz w:val="22"/>
          <w:szCs w:val="22"/>
          <w:lang w:eastAsia="en-NZ"/>
        </w:rPr>
        <w:t>.</w:t>
      </w:r>
      <w:r w:rsidR="00696982">
        <w:rPr>
          <w:rFonts w:eastAsia="Times New Roman" w:cs="Calibri"/>
          <w:sz w:val="22"/>
          <w:szCs w:val="22"/>
          <w:lang w:eastAsia="en-NZ"/>
        </w:rPr>
        <w:t xml:space="preserve"> The completed </w:t>
      </w:r>
      <w:r w:rsidR="00397263">
        <w:rPr>
          <w:rFonts w:eastAsia="Times New Roman" w:cs="Calibri"/>
          <w:sz w:val="22"/>
          <w:szCs w:val="22"/>
          <w:lang w:eastAsia="en-NZ"/>
        </w:rPr>
        <w:t xml:space="preserve">Excel </w:t>
      </w:r>
      <w:r w:rsidR="00696982">
        <w:rPr>
          <w:rFonts w:eastAsia="Times New Roman" w:cs="Calibri"/>
          <w:sz w:val="22"/>
          <w:szCs w:val="22"/>
          <w:lang w:eastAsia="en-NZ"/>
        </w:rPr>
        <w:t>calculator should be attached and submitted with this Word document.</w:t>
      </w:r>
    </w:p>
    <w:p w14:paraId="303B60C0" w14:textId="77777777" w:rsidR="00EF4E8F" w:rsidRDefault="00EF4E8F" w:rsidP="00344D7F">
      <w:pPr>
        <w:pStyle w:val="Spacer"/>
        <w:rPr>
          <w:sz w:val="22"/>
          <w:lang w:eastAsia="en-NZ"/>
        </w:rPr>
      </w:pPr>
    </w:p>
    <w:p w14:paraId="70FB6643" w14:textId="77777777" w:rsidR="00344D7F" w:rsidRDefault="00952BC6" w:rsidP="00344D7F">
      <w:pPr>
        <w:pStyle w:val="Spacer"/>
        <w:rPr>
          <w:sz w:val="22"/>
          <w:lang w:eastAsia="en-NZ"/>
        </w:rPr>
      </w:pPr>
      <w:r>
        <w:rPr>
          <w:sz w:val="22"/>
          <w:lang w:eastAsia="en-NZ"/>
        </w:rPr>
        <w:t>To use t</w:t>
      </w:r>
      <w:r w:rsidR="00344D7F">
        <w:rPr>
          <w:sz w:val="22"/>
          <w:lang w:eastAsia="en-NZ"/>
        </w:rPr>
        <w:t>his calculator</w:t>
      </w:r>
      <w:r>
        <w:rPr>
          <w:sz w:val="22"/>
          <w:lang w:eastAsia="en-NZ"/>
        </w:rPr>
        <w:t xml:space="preserve">, you will need to </w:t>
      </w:r>
      <w:r w:rsidR="00696982">
        <w:rPr>
          <w:sz w:val="22"/>
          <w:lang w:eastAsia="en-NZ"/>
        </w:rPr>
        <w:t>manually input the criteria levels selected here to the calculator.</w:t>
      </w:r>
      <w:r w:rsidR="00344D7F">
        <w:rPr>
          <w:sz w:val="22"/>
          <w:lang w:eastAsia="en-NZ"/>
        </w:rPr>
        <w:t xml:space="preserve"> </w:t>
      </w:r>
      <w:r w:rsidR="00696982">
        <w:rPr>
          <w:sz w:val="22"/>
          <w:lang w:eastAsia="en-NZ"/>
        </w:rPr>
        <w:t xml:space="preserve">This calculator </w:t>
      </w:r>
      <w:r>
        <w:rPr>
          <w:sz w:val="22"/>
          <w:lang w:eastAsia="en-NZ"/>
        </w:rPr>
        <w:t>will</w:t>
      </w:r>
      <w:r w:rsidR="00344D7F">
        <w:rPr>
          <w:sz w:val="22"/>
          <w:lang w:eastAsia="en-NZ"/>
        </w:rPr>
        <w:t xml:space="preserve"> the</w:t>
      </w:r>
      <w:r w:rsidR="00696982">
        <w:rPr>
          <w:sz w:val="22"/>
          <w:lang w:eastAsia="en-NZ"/>
        </w:rPr>
        <w:t>n calculate the</w:t>
      </w:r>
      <w:r w:rsidR="00344D7F">
        <w:rPr>
          <w:sz w:val="22"/>
          <w:lang w:eastAsia="en-NZ"/>
        </w:rPr>
        <w:t xml:space="preserve"> maturity </w:t>
      </w:r>
      <w:r w:rsidR="00EF4E8F">
        <w:rPr>
          <w:sz w:val="22"/>
          <w:lang w:eastAsia="en-NZ"/>
        </w:rPr>
        <w:t xml:space="preserve">level for </w:t>
      </w:r>
      <w:r w:rsidR="00696982">
        <w:rPr>
          <w:sz w:val="22"/>
          <w:lang w:eastAsia="en-NZ"/>
        </w:rPr>
        <w:t xml:space="preserve">each </w:t>
      </w:r>
      <w:r w:rsidR="00EF4E8F">
        <w:rPr>
          <w:sz w:val="22"/>
          <w:lang w:eastAsia="en-NZ"/>
        </w:rPr>
        <w:t>element and section</w:t>
      </w:r>
      <w:r w:rsidR="00344D7F">
        <w:rPr>
          <w:sz w:val="22"/>
          <w:lang w:eastAsia="en-NZ"/>
        </w:rPr>
        <w:t xml:space="preserve">. </w:t>
      </w:r>
    </w:p>
    <w:p w14:paraId="778F013D" w14:textId="77777777" w:rsidR="00344D7F" w:rsidRDefault="00344D7F" w:rsidP="00344D7F">
      <w:pPr>
        <w:pStyle w:val="Spacer"/>
        <w:rPr>
          <w:sz w:val="22"/>
          <w:lang w:eastAsia="en-NZ"/>
        </w:rPr>
      </w:pPr>
    </w:p>
    <w:p w14:paraId="442F6663" w14:textId="77777777" w:rsidR="00E51BB4" w:rsidRDefault="00344D7F" w:rsidP="00344D7F">
      <w:pPr>
        <w:pStyle w:val="Spacer"/>
        <w:rPr>
          <w:sz w:val="22"/>
          <w:lang w:eastAsia="en-NZ"/>
        </w:rPr>
      </w:pPr>
      <w:r>
        <w:rPr>
          <w:sz w:val="22"/>
          <w:lang w:eastAsia="en-NZ"/>
        </w:rPr>
        <w:t xml:space="preserve">For instance, if your agency says that it is </w:t>
      </w:r>
      <w:r w:rsidR="005C764B">
        <w:rPr>
          <w:sz w:val="22"/>
          <w:lang w:eastAsia="en-NZ"/>
        </w:rPr>
        <w:t>‘</w:t>
      </w:r>
      <w:r>
        <w:rPr>
          <w:sz w:val="22"/>
          <w:lang w:eastAsia="en-NZ"/>
        </w:rPr>
        <w:t>Informal</w:t>
      </w:r>
      <w:r w:rsidR="005C764B">
        <w:rPr>
          <w:sz w:val="22"/>
          <w:lang w:eastAsia="en-NZ"/>
        </w:rPr>
        <w:t>’</w:t>
      </w:r>
      <w:r>
        <w:rPr>
          <w:sz w:val="22"/>
          <w:lang w:eastAsia="en-NZ"/>
        </w:rPr>
        <w:t xml:space="preserve"> for one criteri</w:t>
      </w:r>
      <w:r w:rsidR="008D5522">
        <w:rPr>
          <w:sz w:val="22"/>
          <w:lang w:eastAsia="en-NZ"/>
        </w:rPr>
        <w:t>on</w:t>
      </w:r>
      <w:r>
        <w:rPr>
          <w:sz w:val="22"/>
          <w:lang w:eastAsia="en-NZ"/>
        </w:rPr>
        <w:t xml:space="preserve">, </w:t>
      </w:r>
      <w:r w:rsidR="005C764B">
        <w:rPr>
          <w:sz w:val="22"/>
          <w:lang w:eastAsia="en-NZ"/>
        </w:rPr>
        <w:t>‘</w:t>
      </w:r>
      <w:r>
        <w:rPr>
          <w:sz w:val="22"/>
          <w:lang w:eastAsia="en-NZ"/>
        </w:rPr>
        <w:t>Managed</w:t>
      </w:r>
      <w:r w:rsidR="005C764B">
        <w:rPr>
          <w:sz w:val="22"/>
          <w:lang w:eastAsia="en-NZ"/>
        </w:rPr>
        <w:t>’</w:t>
      </w:r>
      <w:r>
        <w:rPr>
          <w:sz w:val="22"/>
          <w:lang w:eastAsia="en-NZ"/>
        </w:rPr>
        <w:t xml:space="preserve"> for a second criteri</w:t>
      </w:r>
      <w:r w:rsidR="008D5522">
        <w:rPr>
          <w:sz w:val="22"/>
          <w:lang w:eastAsia="en-NZ"/>
        </w:rPr>
        <w:t>on</w:t>
      </w:r>
      <w:r>
        <w:rPr>
          <w:sz w:val="22"/>
          <w:lang w:eastAsia="en-NZ"/>
        </w:rPr>
        <w:t xml:space="preserve">, and </w:t>
      </w:r>
      <w:r w:rsidR="005C764B">
        <w:rPr>
          <w:sz w:val="22"/>
          <w:lang w:eastAsia="en-NZ"/>
        </w:rPr>
        <w:t>‘</w:t>
      </w:r>
      <w:r>
        <w:rPr>
          <w:sz w:val="22"/>
          <w:lang w:eastAsia="en-NZ"/>
        </w:rPr>
        <w:t>Foundational</w:t>
      </w:r>
      <w:r w:rsidR="005C764B">
        <w:rPr>
          <w:sz w:val="22"/>
          <w:lang w:eastAsia="en-NZ"/>
        </w:rPr>
        <w:t>’</w:t>
      </w:r>
      <w:r>
        <w:rPr>
          <w:sz w:val="22"/>
          <w:lang w:eastAsia="en-NZ"/>
        </w:rPr>
        <w:t xml:space="preserve"> for a third, the Excel calculator </w:t>
      </w:r>
      <w:r w:rsidR="00EF4E8F">
        <w:rPr>
          <w:sz w:val="22"/>
          <w:lang w:eastAsia="en-NZ"/>
        </w:rPr>
        <w:t>will calculate</w:t>
      </w:r>
      <w:r>
        <w:rPr>
          <w:sz w:val="22"/>
          <w:lang w:eastAsia="en-NZ"/>
        </w:rPr>
        <w:t xml:space="preserve"> </w:t>
      </w:r>
      <w:r w:rsidR="00EF4E8F">
        <w:rPr>
          <w:sz w:val="22"/>
          <w:lang w:eastAsia="en-NZ"/>
        </w:rPr>
        <w:t>the score for th</w:t>
      </w:r>
      <w:r w:rsidR="00696982">
        <w:rPr>
          <w:sz w:val="22"/>
          <w:lang w:eastAsia="en-NZ"/>
        </w:rPr>
        <w:t>at</w:t>
      </w:r>
      <w:r w:rsidR="00EF4E8F">
        <w:rPr>
          <w:sz w:val="22"/>
          <w:lang w:eastAsia="en-NZ"/>
        </w:rPr>
        <w:t xml:space="preserve"> element.</w:t>
      </w:r>
    </w:p>
    <w:p w14:paraId="6977CD16" w14:textId="77777777" w:rsidR="00344D7F" w:rsidRDefault="00344D7F" w:rsidP="00344D7F">
      <w:pPr>
        <w:pStyle w:val="Spacer"/>
        <w:rPr>
          <w:sz w:val="22"/>
          <w:lang w:eastAsia="en-NZ"/>
        </w:rPr>
      </w:pPr>
    </w:p>
    <w:p w14:paraId="3403BF20" w14:textId="77777777" w:rsidR="003C320F" w:rsidRDefault="00402B04" w:rsidP="00402B04">
      <w:pPr>
        <w:pStyle w:val="Spacer"/>
        <w:rPr>
          <w:rFonts w:cs="Arial"/>
          <w:b/>
          <w:bCs/>
          <w:iCs/>
          <w:color w:val="1F546B"/>
          <w:sz w:val="36"/>
          <w:szCs w:val="28"/>
        </w:rPr>
      </w:pPr>
      <w:r w:rsidRPr="00402B04">
        <w:rPr>
          <w:sz w:val="22"/>
          <w:lang w:eastAsia="en-NZ"/>
        </w:rPr>
        <w:t>If you have any questions about using this template or the Excel calculator, please contact us.</w:t>
      </w:r>
      <w:r w:rsidR="003C320F">
        <w:br w:type="page"/>
      </w:r>
    </w:p>
    <w:p w14:paraId="0EC80B51" w14:textId="77777777" w:rsidR="005F1703" w:rsidRPr="00EF4E8F" w:rsidRDefault="009B529C" w:rsidP="00EF4E8F">
      <w:pPr>
        <w:pStyle w:val="Heading1"/>
        <w:rPr>
          <w:rFonts w:asciiTheme="minorHAnsi" w:hAnsiTheme="minorHAnsi"/>
          <w:color w:val="1F546B"/>
          <w:sz w:val="40"/>
        </w:rPr>
      </w:pPr>
      <w:r w:rsidRPr="00EF4E8F">
        <w:rPr>
          <w:rFonts w:asciiTheme="minorHAnsi" w:hAnsiTheme="minorHAnsi"/>
          <w:color w:val="1F546B"/>
          <w:sz w:val="40"/>
        </w:rPr>
        <w:lastRenderedPageBreak/>
        <w:t>Core Expectations</w:t>
      </w:r>
    </w:p>
    <w:p w14:paraId="2B66C9FD" w14:textId="77777777" w:rsidR="000748AC" w:rsidRPr="000748AC" w:rsidRDefault="00E466D1" w:rsidP="000748AC">
      <w:hyperlink r:id="rId29" w:history="1">
        <w:r w:rsidR="000748AC" w:rsidRPr="000748AC">
          <w:rPr>
            <w:rStyle w:val="Hyperlink"/>
          </w:rPr>
          <w:t>Core expectation guidance</w:t>
        </w:r>
      </w:hyperlink>
    </w:p>
    <w:tbl>
      <w:tblPr>
        <w:tblStyle w:val="DIATable"/>
        <w:tblW w:w="0" w:type="auto"/>
        <w:tblLook w:val="04A0" w:firstRow="1" w:lastRow="0" w:firstColumn="1" w:lastColumn="0" w:noHBand="0" w:noVBand="1"/>
      </w:tblPr>
      <w:tblGrid>
        <w:gridCol w:w="1484"/>
        <w:gridCol w:w="1654"/>
        <w:gridCol w:w="4394"/>
        <w:gridCol w:w="1401"/>
      </w:tblGrid>
      <w:tr w:rsidR="001578D4" w14:paraId="721B45A0" w14:textId="77777777" w:rsidTr="003A3E6E">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42A9B3" w:themeFill="accent1" w:themeFillShade="BF"/>
          </w:tcPr>
          <w:p w14:paraId="215FC528" w14:textId="77777777" w:rsidR="001578D4" w:rsidRPr="001578D4" w:rsidRDefault="001578D4" w:rsidP="00603635">
            <w:r w:rsidRPr="00A10695">
              <w:t xml:space="preserve">Core Expectation 1: </w:t>
            </w:r>
            <w:r w:rsidR="00136FF1" w:rsidRPr="00136FF1">
              <w:t>Take a people-centred approach to privacy that is respectful of those the information is about and provides the public with effective services.</w:t>
            </w:r>
          </w:p>
        </w:tc>
      </w:tr>
      <w:tr w:rsidR="00046510" w14:paraId="7C71EBC8" w14:textId="77777777" w:rsidTr="00D2481E">
        <w:trPr>
          <w:cantSplit w:val="0"/>
        </w:trPr>
        <w:tc>
          <w:tcPr>
            <w:tcW w:w="1484" w:type="dxa"/>
            <w:vMerge w:val="restart"/>
          </w:tcPr>
          <w:p w14:paraId="1B4B10E0" w14:textId="77777777" w:rsidR="00046510" w:rsidRDefault="00046510" w:rsidP="00E9281A">
            <w:pPr>
              <w:rPr>
                <w:b/>
              </w:rPr>
            </w:pPr>
            <w:r>
              <w:rPr>
                <w:b/>
              </w:rPr>
              <w:t>CE1.1</w:t>
            </w:r>
          </w:p>
        </w:tc>
        <w:tc>
          <w:tcPr>
            <w:tcW w:w="1654" w:type="dxa"/>
            <w:vMerge w:val="restart"/>
          </w:tcPr>
          <w:p w14:paraId="29D31DB2" w14:textId="77777777" w:rsidR="00046510" w:rsidRDefault="00046510" w:rsidP="00E9281A">
            <w:pPr>
              <w:rPr>
                <w:b/>
              </w:rPr>
            </w:pPr>
            <w:r w:rsidRPr="003A3E6E">
              <w:rPr>
                <w:b/>
              </w:rPr>
              <w:t>Having a people-centred privacy programme</w:t>
            </w:r>
          </w:p>
        </w:tc>
        <w:tc>
          <w:tcPr>
            <w:tcW w:w="4394" w:type="dxa"/>
          </w:tcPr>
          <w:p w14:paraId="2326F19C" w14:textId="77777777" w:rsidR="00046510" w:rsidRPr="005D36E7" w:rsidRDefault="00046510" w:rsidP="005D36E7">
            <w:pPr>
              <w:rPr>
                <w:b/>
              </w:rPr>
            </w:pPr>
            <w:r>
              <w:rPr>
                <w:b/>
              </w:rPr>
              <w:t xml:space="preserve">Informal: </w:t>
            </w:r>
            <w:r w:rsidR="00652AB3" w:rsidRPr="00652AB3">
              <w:t>Privacy policies and practices are compliance-centric and risk-centric with limited focus on the impact of decisions about use of personal information on the people that the information is about.</w:t>
            </w:r>
          </w:p>
        </w:tc>
        <w:tc>
          <w:tcPr>
            <w:tcW w:w="1401" w:type="dxa"/>
            <w:vMerge w:val="restart"/>
          </w:tcPr>
          <w:p w14:paraId="280FAD23" w14:textId="77777777" w:rsidR="00046510" w:rsidRPr="00DE51C7" w:rsidRDefault="00046510" w:rsidP="00E9281A">
            <w:pPr>
              <w:jc w:val="center"/>
            </w:pPr>
            <w:r w:rsidRPr="00DE51C7">
              <w:rPr>
                <w:highlight w:val="yellow"/>
              </w:rPr>
              <w:t>Type rating here</w:t>
            </w:r>
          </w:p>
        </w:tc>
      </w:tr>
      <w:tr w:rsidR="00046510" w14:paraId="394B0DE0" w14:textId="77777777" w:rsidTr="00D2481E">
        <w:trPr>
          <w:cantSplit w:val="0"/>
        </w:trPr>
        <w:tc>
          <w:tcPr>
            <w:tcW w:w="1484" w:type="dxa"/>
            <w:vMerge/>
          </w:tcPr>
          <w:p w14:paraId="396F5037" w14:textId="77777777" w:rsidR="00046510" w:rsidRDefault="00046510" w:rsidP="00046510">
            <w:pPr>
              <w:jc w:val="center"/>
              <w:rPr>
                <w:b/>
              </w:rPr>
            </w:pPr>
          </w:p>
        </w:tc>
        <w:tc>
          <w:tcPr>
            <w:tcW w:w="1654" w:type="dxa"/>
            <w:vMerge/>
          </w:tcPr>
          <w:p w14:paraId="7E6531DB" w14:textId="77777777" w:rsidR="00046510" w:rsidRDefault="00046510" w:rsidP="00E9281A">
            <w:pPr>
              <w:rPr>
                <w:b/>
              </w:rPr>
            </w:pPr>
          </w:p>
        </w:tc>
        <w:tc>
          <w:tcPr>
            <w:tcW w:w="4394" w:type="dxa"/>
          </w:tcPr>
          <w:p w14:paraId="0B36A3A3" w14:textId="77777777" w:rsidR="00046510" w:rsidRDefault="00360B02" w:rsidP="00E9281A">
            <w:pPr>
              <w:rPr>
                <w:b/>
              </w:rPr>
            </w:pPr>
            <w:r>
              <w:rPr>
                <w:b/>
              </w:rPr>
              <w:t>Foundational</w:t>
            </w:r>
            <w:r w:rsidR="00046510">
              <w:rPr>
                <w:b/>
              </w:rPr>
              <w:t xml:space="preserve">: </w:t>
            </w:r>
            <w:r w:rsidR="00652AB3" w:rsidRPr="00652AB3">
              <w:t>Privacy policies and practices include recommendations to consider the views of the people that the information is about. The privacy programme has no specific focus on instilling a people-centred perspective.</w:t>
            </w:r>
          </w:p>
        </w:tc>
        <w:tc>
          <w:tcPr>
            <w:tcW w:w="1401" w:type="dxa"/>
            <w:vMerge/>
          </w:tcPr>
          <w:p w14:paraId="4A30481B" w14:textId="77777777" w:rsidR="00046510" w:rsidRPr="00DE51C7" w:rsidRDefault="00046510" w:rsidP="00E9281A"/>
        </w:tc>
      </w:tr>
      <w:tr w:rsidR="00046510" w14:paraId="4BE72846" w14:textId="77777777" w:rsidTr="00D2481E">
        <w:trPr>
          <w:cantSplit w:val="0"/>
        </w:trPr>
        <w:tc>
          <w:tcPr>
            <w:tcW w:w="1484" w:type="dxa"/>
            <w:vMerge/>
          </w:tcPr>
          <w:p w14:paraId="0F600A98" w14:textId="77777777" w:rsidR="00046510" w:rsidRDefault="00046510" w:rsidP="00E9281A">
            <w:pPr>
              <w:rPr>
                <w:b/>
              </w:rPr>
            </w:pPr>
          </w:p>
        </w:tc>
        <w:tc>
          <w:tcPr>
            <w:tcW w:w="1654" w:type="dxa"/>
            <w:vMerge/>
          </w:tcPr>
          <w:p w14:paraId="72830FE1" w14:textId="77777777" w:rsidR="00046510" w:rsidRDefault="00046510" w:rsidP="00E9281A">
            <w:pPr>
              <w:rPr>
                <w:b/>
              </w:rPr>
            </w:pPr>
          </w:p>
        </w:tc>
        <w:tc>
          <w:tcPr>
            <w:tcW w:w="4394" w:type="dxa"/>
          </w:tcPr>
          <w:p w14:paraId="29052074" w14:textId="77777777" w:rsidR="00046510" w:rsidRDefault="00046510" w:rsidP="00E9281A">
            <w:pPr>
              <w:rPr>
                <w:b/>
              </w:rPr>
            </w:pPr>
            <w:r>
              <w:rPr>
                <w:b/>
              </w:rPr>
              <w:t xml:space="preserve">Managed: </w:t>
            </w:r>
            <w:r w:rsidR="00652AB3" w:rsidRPr="00652AB3">
              <w:t>Privacy policies and practices are appropriately aligned with DPUP’s Principles and Guidelines. The privacy programme focuses on change initiatives to embed a people-centred approach.</w:t>
            </w:r>
          </w:p>
        </w:tc>
        <w:tc>
          <w:tcPr>
            <w:tcW w:w="1401" w:type="dxa"/>
            <w:vMerge/>
          </w:tcPr>
          <w:p w14:paraId="44BAC367" w14:textId="77777777" w:rsidR="00046510" w:rsidRPr="00DE51C7" w:rsidRDefault="00046510" w:rsidP="00E9281A"/>
        </w:tc>
      </w:tr>
      <w:tr w:rsidR="00046510" w14:paraId="4F9F413F" w14:textId="77777777" w:rsidTr="00D2481E">
        <w:trPr>
          <w:cantSplit w:val="0"/>
        </w:trPr>
        <w:tc>
          <w:tcPr>
            <w:tcW w:w="1484" w:type="dxa"/>
            <w:vMerge w:val="restart"/>
          </w:tcPr>
          <w:p w14:paraId="7E00E7CF" w14:textId="77777777" w:rsidR="00046510" w:rsidRDefault="00046510" w:rsidP="00E9281A">
            <w:pPr>
              <w:rPr>
                <w:b/>
              </w:rPr>
            </w:pPr>
            <w:r>
              <w:rPr>
                <w:b/>
              </w:rPr>
              <w:t>CE1.2</w:t>
            </w:r>
          </w:p>
        </w:tc>
        <w:tc>
          <w:tcPr>
            <w:tcW w:w="1654" w:type="dxa"/>
            <w:vMerge w:val="restart"/>
          </w:tcPr>
          <w:p w14:paraId="03C9DD00" w14:textId="77777777" w:rsidR="00046510" w:rsidRDefault="00046510" w:rsidP="00E9281A">
            <w:pPr>
              <w:rPr>
                <w:b/>
              </w:rPr>
            </w:pPr>
            <w:r>
              <w:rPr>
                <w:b/>
              </w:rPr>
              <w:t>Connecting with service users</w:t>
            </w:r>
          </w:p>
        </w:tc>
        <w:tc>
          <w:tcPr>
            <w:tcW w:w="4394" w:type="dxa"/>
          </w:tcPr>
          <w:p w14:paraId="722FF295" w14:textId="77777777" w:rsidR="00046510" w:rsidRDefault="00046510" w:rsidP="00E9281A">
            <w:pPr>
              <w:rPr>
                <w:b/>
              </w:rPr>
            </w:pPr>
            <w:r>
              <w:rPr>
                <w:b/>
              </w:rPr>
              <w:t xml:space="preserve">Informal: </w:t>
            </w:r>
            <w:r w:rsidR="000A602B" w:rsidRPr="000A602B">
              <w:t>Individual initiatives infrequently connect with service users to test new ideas with them about collection or use of their personal information.</w:t>
            </w:r>
          </w:p>
        </w:tc>
        <w:tc>
          <w:tcPr>
            <w:tcW w:w="1401" w:type="dxa"/>
            <w:vMerge w:val="restart"/>
          </w:tcPr>
          <w:p w14:paraId="347A3710" w14:textId="6A583779" w:rsidR="00B50116" w:rsidRPr="00DE51C7" w:rsidRDefault="00046510" w:rsidP="00B50116">
            <w:pPr>
              <w:jc w:val="center"/>
            </w:pPr>
            <w:r w:rsidRPr="00DE51C7">
              <w:rPr>
                <w:highlight w:val="yellow"/>
              </w:rPr>
              <w:t>Type rating here</w:t>
            </w:r>
          </w:p>
        </w:tc>
      </w:tr>
      <w:tr w:rsidR="00046510" w14:paraId="2A80E561" w14:textId="77777777" w:rsidTr="00D2481E">
        <w:trPr>
          <w:cantSplit w:val="0"/>
        </w:trPr>
        <w:tc>
          <w:tcPr>
            <w:tcW w:w="1484" w:type="dxa"/>
            <w:vMerge/>
          </w:tcPr>
          <w:p w14:paraId="2B96DEF6" w14:textId="77777777" w:rsidR="00046510" w:rsidRDefault="00046510" w:rsidP="00046510">
            <w:pPr>
              <w:jc w:val="center"/>
              <w:rPr>
                <w:b/>
              </w:rPr>
            </w:pPr>
          </w:p>
        </w:tc>
        <w:tc>
          <w:tcPr>
            <w:tcW w:w="1654" w:type="dxa"/>
            <w:vMerge/>
          </w:tcPr>
          <w:p w14:paraId="55F44B5F" w14:textId="77777777" w:rsidR="00046510" w:rsidRDefault="00046510" w:rsidP="00E9281A">
            <w:pPr>
              <w:rPr>
                <w:b/>
              </w:rPr>
            </w:pPr>
          </w:p>
        </w:tc>
        <w:tc>
          <w:tcPr>
            <w:tcW w:w="4394" w:type="dxa"/>
          </w:tcPr>
          <w:p w14:paraId="17FC6AB5" w14:textId="77777777" w:rsidR="00046510" w:rsidRPr="005D36E7" w:rsidRDefault="00360B02" w:rsidP="00E9281A">
            <w:pPr>
              <w:rPr>
                <w:b/>
              </w:rPr>
            </w:pPr>
            <w:r>
              <w:rPr>
                <w:b/>
              </w:rPr>
              <w:t>Foundational</w:t>
            </w:r>
            <w:r w:rsidR="00046510">
              <w:rPr>
                <w:b/>
              </w:rPr>
              <w:t xml:space="preserve">: </w:t>
            </w:r>
            <w:r w:rsidRPr="00360B02">
              <w:t>Individual initiatives connect with service users or their representatives to include their views in decision-making processes about collection and use of their personal information. There is little guidance for initiatives about when and how to go about it.</w:t>
            </w:r>
          </w:p>
        </w:tc>
        <w:tc>
          <w:tcPr>
            <w:tcW w:w="1401" w:type="dxa"/>
            <w:vMerge/>
          </w:tcPr>
          <w:p w14:paraId="49966A82" w14:textId="77777777" w:rsidR="00046510" w:rsidRPr="00DE51C7" w:rsidRDefault="00046510" w:rsidP="00E9281A"/>
        </w:tc>
      </w:tr>
      <w:tr w:rsidR="00046510" w14:paraId="576D76DF" w14:textId="77777777" w:rsidTr="00D2481E">
        <w:trPr>
          <w:cantSplit w:val="0"/>
        </w:trPr>
        <w:tc>
          <w:tcPr>
            <w:tcW w:w="1484" w:type="dxa"/>
            <w:vMerge/>
          </w:tcPr>
          <w:p w14:paraId="2DEC8026" w14:textId="77777777" w:rsidR="00046510" w:rsidRDefault="00046510" w:rsidP="00E9281A">
            <w:pPr>
              <w:rPr>
                <w:b/>
              </w:rPr>
            </w:pPr>
          </w:p>
        </w:tc>
        <w:tc>
          <w:tcPr>
            <w:tcW w:w="1654" w:type="dxa"/>
            <w:vMerge/>
          </w:tcPr>
          <w:p w14:paraId="64FCF756" w14:textId="77777777" w:rsidR="00046510" w:rsidRDefault="00046510" w:rsidP="00E9281A">
            <w:pPr>
              <w:rPr>
                <w:b/>
              </w:rPr>
            </w:pPr>
          </w:p>
        </w:tc>
        <w:tc>
          <w:tcPr>
            <w:tcW w:w="4394" w:type="dxa"/>
          </w:tcPr>
          <w:p w14:paraId="57A98DA9" w14:textId="77777777" w:rsidR="00046510" w:rsidRDefault="00046510" w:rsidP="00E9281A">
            <w:pPr>
              <w:rPr>
                <w:b/>
              </w:rPr>
            </w:pPr>
            <w:r>
              <w:rPr>
                <w:b/>
              </w:rPr>
              <w:t xml:space="preserve">Managed: </w:t>
            </w:r>
            <w:r w:rsidR="00360B02" w:rsidRPr="00360B02">
              <w:t>There are established processes and easy-to-use methods for connecting with service users or their representatives, when appropriate, to include their views in decision-making processes about collection and use of their personal information.</w:t>
            </w:r>
          </w:p>
        </w:tc>
        <w:tc>
          <w:tcPr>
            <w:tcW w:w="1401" w:type="dxa"/>
            <w:vMerge/>
          </w:tcPr>
          <w:p w14:paraId="1EAC6A0F" w14:textId="77777777" w:rsidR="00046510" w:rsidRPr="00DE51C7" w:rsidRDefault="00046510" w:rsidP="00E9281A"/>
        </w:tc>
      </w:tr>
      <w:tr w:rsidR="00046510" w14:paraId="22D5740D" w14:textId="77777777" w:rsidTr="00D2481E">
        <w:trPr>
          <w:cantSplit w:val="0"/>
          <w:trHeight w:val="935"/>
        </w:trPr>
        <w:tc>
          <w:tcPr>
            <w:tcW w:w="1484" w:type="dxa"/>
            <w:vMerge w:val="restart"/>
          </w:tcPr>
          <w:p w14:paraId="1D763669" w14:textId="77777777" w:rsidR="00046510" w:rsidRDefault="00046510" w:rsidP="00E9281A">
            <w:pPr>
              <w:rPr>
                <w:b/>
              </w:rPr>
            </w:pPr>
            <w:r>
              <w:rPr>
                <w:b/>
              </w:rPr>
              <w:t>CE1.3</w:t>
            </w:r>
          </w:p>
        </w:tc>
        <w:tc>
          <w:tcPr>
            <w:tcW w:w="1654" w:type="dxa"/>
            <w:vMerge w:val="restart"/>
          </w:tcPr>
          <w:p w14:paraId="5B12151D" w14:textId="77777777" w:rsidR="005D36E7" w:rsidRDefault="00046510" w:rsidP="00E9281A">
            <w:pPr>
              <w:rPr>
                <w:b/>
              </w:rPr>
            </w:pPr>
            <w:r>
              <w:rPr>
                <w:b/>
              </w:rPr>
              <w:t>Being transparent</w:t>
            </w:r>
          </w:p>
          <w:p w14:paraId="388667D6" w14:textId="77777777" w:rsidR="00046510" w:rsidRPr="005D36E7" w:rsidRDefault="00046510" w:rsidP="005D36E7"/>
        </w:tc>
        <w:tc>
          <w:tcPr>
            <w:tcW w:w="4394" w:type="dxa"/>
          </w:tcPr>
          <w:p w14:paraId="174A44AD" w14:textId="77777777" w:rsidR="00360B02" w:rsidRDefault="00046510" w:rsidP="00360B02">
            <w:r>
              <w:rPr>
                <w:b/>
              </w:rPr>
              <w:t>Informal:</w:t>
            </w:r>
            <w:r>
              <w:t xml:space="preserve"> </w:t>
            </w:r>
            <w:r w:rsidR="00360B02">
              <w:t>Transparency is limited to general clauses in consent forms or privacy notices or statements used at the start of the relationship with service users.</w:t>
            </w:r>
          </w:p>
          <w:p w14:paraId="173962B6" w14:textId="77777777" w:rsidR="00046510" w:rsidRDefault="00360B02" w:rsidP="00360B02">
            <w:pPr>
              <w:rPr>
                <w:b/>
              </w:rPr>
            </w:pPr>
            <w:r>
              <w:t>The approach to enabling people to access their information and request correction is ad hoc or reactive.</w:t>
            </w:r>
          </w:p>
        </w:tc>
        <w:tc>
          <w:tcPr>
            <w:tcW w:w="1401" w:type="dxa"/>
            <w:vMerge w:val="restart"/>
          </w:tcPr>
          <w:p w14:paraId="0F8CACFF" w14:textId="5554FDEA" w:rsidR="00B50116" w:rsidRPr="00DE51C7" w:rsidRDefault="00046510" w:rsidP="00B50116">
            <w:pPr>
              <w:jc w:val="center"/>
            </w:pPr>
            <w:r w:rsidRPr="00DE51C7">
              <w:rPr>
                <w:highlight w:val="yellow"/>
              </w:rPr>
              <w:t>Type rating here</w:t>
            </w:r>
          </w:p>
        </w:tc>
      </w:tr>
      <w:tr w:rsidR="00046510" w14:paraId="0F127E03" w14:textId="77777777" w:rsidTr="00D2481E">
        <w:trPr>
          <w:cantSplit w:val="0"/>
        </w:trPr>
        <w:tc>
          <w:tcPr>
            <w:tcW w:w="1484" w:type="dxa"/>
            <w:vMerge/>
          </w:tcPr>
          <w:p w14:paraId="71D1E026" w14:textId="77777777" w:rsidR="00046510" w:rsidRPr="00046510" w:rsidRDefault="00046510" w:rsidP="00046510">
            <w:pPr>
              <w:tabs>
                <w:tab w:val="left" w:pos="600"/>
              </w:tabs>
            </w:pPr>
          </w:p>
        </w:tc>
        <w:tc>
          <w:tcPr>
            <w:tcW w:w="1654" w:type="dxa"/>
            <w:vMerge/>
          </w:tcPr>
          <w:p w14:paraId="1B91124F" w14:textId="77777777" w:rsidR="00046510" w:rsidRDefault="00046510" w:rsidP="001578D4">
            <w:pPr>
              <w:rPr>
                <w:b/>
              </w:rPr>
            </w:pPr>
          </w:p>
        </w:tc>
        <w:tc>
          <w:tcPr>
            <w:tcW w:w="4394" w:type="dxa"/>
          </w:tcPr>
          <w:p w14:paraId="277827F5" w14:textId="77777777" w:rsidR="00360B02" w:rsidRDefault="00360B02" w:rsidP="00360B02">
            <w:r>
              <w:rPr>
                <w:b/>
              </w:rPr>
              <w:t>Foundational</w:t>
            </w:r>
            <w:r w:rsidR="00046510">
              <w:rPr>
                <w:b/>
              </w:rPr>
              <w:t xml:space="preserve">: </w:t>
            </w:r>
            <w:r>
              <w:t>Individual initiatives focus on transparency about why and how people’s information is collected, used or shared, and what choices they have.</w:t>
            </w:r>
          </w:p>
          <w:p w14:paraId="47A1B1E1" w14:textId="77777777" w:rsidR="00046510" w:rsidRDefault="00360B02" w:rsidP="00360B02">
            <w:pPr>
              <w:rPr>
                <w:b/>
              </w:rPr>
            </w:pPr>
            <w:r>
              <w:t>Information about how people can access and request correction of their information is available but is not easy for service users to understand or execute.</w:t>
            </w:r>
          </w:p>
        </w:tc>
        <w:tc>
          <w:tcPr>
            <w:tcW w:w="1401" w:type="dxa"/>
            <w:vMerge/>
          </w:tcPr>
          <w:p w14:paraId="2131D058" w14:textId="77777777" w:rsidR="00046510" w:rsidRDefault="00046510" w:rsidP="001578D4">
            <w:pPr>
              <w:rPr>
                <w:b/>
              </w:rPr>
            </w:pPr>
          </w:p>
        </w:tc>
      </w:tr>
      <w:tr w:rsidR="00046510" w14:paraId="2C220260" w14:textId="77777777" w:rsidTr="00D2481E">
        <w:trPr>
          <w:cantSplit w:val="0"/>
        </w:trPr>
        <w:tc>
          <w:tcPr>
            <w:tcW w:w="1484" w:type="dxa"/>
            <w:vMerge/>
          </w:tcPr>
          <w:p w14:paraId="5378FBDA" w14:textId="77777777" w:rsidR="00046510" w:rsidRDefault="00046510" w:rsidP="001578D4">
            <w:pPr>
              <w:rPr>
                <w:b/>
              </w:rPr>
            </w:pPr>
          </w:p>
        </w:tc>
        <w:tc>
          <w:tcPr>
            <w:tcW w:w="1654" w:type="dxa"/>
            <w:vMerge/>
          </w:tcPr>
          <w:p w14:paraId="6362ADF7" w14:textId="77777777" w:rsidR="00046510" w:rsidRDefault="00046510" w:rsidP="001578D4">
            <w:pPr>
              <w:rPr>
                <w:b/>
              </w:rPr>
            </w:pPr>
          </w:p>
        </w:tc>
        <w:tc>
          <w:tcPr>
            <w:tcW w:w="4394" w:type="dxa"/>
          </w:tcPr>
          <w:p w14:paraId="5BB8B96A" w14:textId="77777777" w:rsidR="00360B02" w:rsidRDefault="00046510" w:rsidP="00360B02">
            <w:r>
              <w:rPr>
                <w:b/>
              </w:rPr>
              <w:t xml:space="preserve">Managed: </w:t>
            </w:r>
            <w:r w:rsidR="00360B02">
              <w:t>The agency is transparent about:</w:t>
            </w:r>
          </w:p>
          <w:p w14:paraId="58AE0BCC" w14:textId="77777777" w:rsidR="00360B02" w:rsidRPr="00360B02" w:rsidRDefault="00360B02" w:rsidP="005D36E7">
            <w:pPr>
              <w:pStyle w:val="ListParagraph"/>
              <w:numPr>
                <w:ilvl w:val="0"/>
                <w:numId w:val="28"/>
              </w:numPr>
              <w:spacing w:before="56" w:after="32"/>
            </w:pPr>
            <w:r w:rsidRPr="00360B02">
              <w:t>what kinds of personal information it collects and uses</w:t>
            </w:r>
          </w:p>
          <w:p w14:paraId="2807675B" w14:textId="77777777" w:rsidR="00360B02" w:rsidRPr="00360B02" w:rsidRDefault="00360B02" w:rsidP="005D36E7">
            <w:pPr>
              <w:pStyle w:val="ListParagraph"/>
              <w:numPr>
                <w:ilvl w:val="0"/>
                <w:numId w:val="28"/>
              </w:numPr>
              <w:spacing w:before="56" w:after="32"/>
            </w:pPr>
            <w:r w:rsidRPr="00360B02">
              <w:t>why and how it’s used</w:t>
            </w:r>
          </w:p>
          <w:p w14:paraId="3F14C428" w14:textId="77777777" w:rsidR="00360B02" w:rsidRPr="00360B02" w:rsidRDefault="00360B02" w:rsidP="005D36E7">
            <w:pPr>
              <w:pStyle w:val="ListParagraph"/>
              <w:numPr>
                <w:ilvl w:val="0"/>
                <w:numId w:val="28"/>
              </w:numPr>
              <w:spacing w:before="56" w:after="32"/>
            </w:pPr>
            <w:r w:rsidRPr="00360B02">
              <w:t>choices people may have and how to access and request correction to their personal information.</w:t>
            </w:r>
          </w:p>
          <w:p w14:paraId="1AB611EB" w14:textId="77777777" w:rsidR="00046510" w:rsidRPr="005D36E7" w:rsidRDefault="00360B02" w:rsidP="00360B02">
            <w:pPr>
              <w:rPr>
                <w:b/>
              </w:rPr>
            </w:pPr>
            <w:r>
              <w:t>This information is presented in easy-to-understand ways.</w:t>
            </w:r>
          </w:p>
        </w:tc>
        <w:tc>
          <w:tcPr>
            <w:tcW w:w="1401" w:type="dxa"/>
            <w:vMerge/>
          </w:tcPr>
          <w:p w14:paraId="55DA209D" w14:textId="77777777" w:rsidR="00046510" w:rsidRDefault="00046510" w:rsidP="001578D4">
            <w:pPr>
              <w:rPr>
                <w:b/>
              </w:rPr>
            </w:pPr>
          </w:p>
        </w:tc>
      </w:tr>
      <w:tr w:rsidR="007F7009" w14:paraId="3E1C8408" w14:textId="77777777" w:rsidTr="00E50C58">
        <w:trPr>
          <w:cantSplit w:val="0"/>
        </w:trPr>
        <w:tc>
          <w:tcPr>
            <w:tcW w:w="1484" w:type="dxa"/>
          </w:tcPr>
          <w:p w14:paraId="2FC1E076" w14:textId="77777777" w:rsidR="007F7009" w:rsidRPr="00E93801" w:rsidRDefault="00E93801" w:rsidP="007F7009">
            <w:pPr>
              <w:rPr>
                <w:b/>
              </w:rPr>
            </w:pPr>
            <w:r>
              <w:rPr>
                <w:b/>
              </w:rPr>
              <w:t>Context</w:t>
            </w:r>
            <w:r w:rsidR="007F7009" w:rsidRPr="00E93801">
              <w:rPr>
                <w:b/>
              </w:rPr>
              <w:t>:</w:t>
            </w:r>
          </w:p>
        </w:tc>
        <w:tc>
          <w:tcPr>
            <w:tcW w:w="7449" w:type="dxa"/>
            <w:gridSpan w:val="3"/>
          </w:tcPr>
          <w:p w14:paraId="3BCCE290" w14:textId="77777777" w:rsidR="007F7009" w:rsidRPr="00D73E5B" w:rsidRDefault="007F7009" w:rsidP="007F7009">
            <w:r w:rsidRPr="004B205D">
              <w:rPr>
                <w:highlight w:val="yellow"/>
              </w:rPr>
              <w:t>(insert comment here)</w:t>
            </w:r>
          </w:p>
        </w:tc>
      </w:tr>
      <w:tr w:rsidR="00E93801" w14:paraId="2DDA2136" w14:textId="77777777" w:rsidTr="00E50C58">
        <w:trPr>
          <w:cantSplit w:val="0"/>
        </w:trPr>
        <w:tc>
          <w:tcPr>
            <w:tcW w:w="1484" w:type="dxa"/>
          </w:tcPr>
          <w:p w14:paraId="6701F8F3" w14:textId="77777777" w:rsidR="00E93801" w:rsidRPr="00E93801" w:rsidRDefault="00E93801" w:rsidP="007F7009">
            <w:pPr>
              <w:rPr>
                <w:b/>
              </w:rPr>
            </w:pPr>
            <w:r>
              <w:rPr>
                <w:b/>
              </w:rPr>
              <w:t>Achievement:</w:t>
            </w:r>
          </w:p>
        </w:tc>
        <w:tc>
          <w:tcPr>
            <w:tcW w:w="7449" w:type="dxa"/>
            <w:gridSpan w:val="3"/>
          </w:tcPr>
          <w:p w14:paraId="51B87E82" w14:textId="77777777" w:rsidR="00E93801" w:rsidRPr="004B205D" w:rsidRDefault="00E93801" w:rsidP="007F7009">
            <w:pPr>
              <w:rPr>
                <w:highlight w:val="yellow"/>
              </w:rPr>
            </w:pPr>
            <w:r w:rsidRPr="004B205D">
              <w:rPr>
                <w:highlight w:val="yellow"/>
              </w:rPr>
              <w:t>(insert comment here)</w:t>
            </w:r>
          </w:p>
        </w:tc>
      </w:tr>
      <w:tr w:rsidR="00E93801" w14:paraId="4A09BB8F" w14:textId="77777777" w:rsidTr="00E50C58">
        <w:trPr>
          <w:cantSplit w:val="0"/>
        </w:trPr>
        <w:tc>
          <w:tcPr>
            <w:tcW w:w="1484" w:type="dxa"/>
          </w:tcPr>
          <w:p w14:paraId="2438E23F" w14:textId="77777777" w:rsidR="00E93801" w:rsidRDefault="00E93801" w:rsidP="007F7009">
            <w:pPr>
              <w:rPr>
                <w:b/>
              </w:rPr>
            </w:pPr>
            <w:r>
              <w:rPr>
                <w:b/>
              </w:rPr>
              <w:t>Future focus:</w:t>
            </w:r>
          </w:p>
        </w:tc>
        <w:tc>
          <w:tcPr>
            <w:tcW w:w="7449" w:type="dxa"/>
            <w:gridSpan w:val="3"/>
          </w:tcPr>
          <w:p w14:paraId="354C4542" w14:textId="77777777" w:rsidR="00E93801" w:rsidRPr="004B205D" w:rsidRDefault="00E93801" w:rsidP="007F7009">
            <w:pPr>
              <w:rPr>
                <w:highlight w:val="yellow"/>
              </w:rPr>
            </w:pPr>
            <w:r w:rsidRPr="004B205D">
              <w:rPr>
                <w:highlight w:val="yellow"/>
              </w:rPr>
              <w:t>(insert comment here)</w:t>
            </w:r>
          </w:p>
        </w:tc>
      </w:tr>
      <w:tr w:rsidR="00E93801" w14:paraId="64980992" w14:textId="77777777" w:rsidTr="00E50C58">
        <w:trPr>
          <w:cantSplit w:val="0"/>
        </w:trPr>
        <w:tc>
          <w:tcPr>
            <w:tcW w:w="1484" w:type="dxa"/>
          </w:tcPr>
          <w:p w14:paraId="726D3AD5" w14:textId="77777777" w:rsidR="00E93801" w:rsidRDefault="00E93801" w:rsidP="007F7009">
            <w:pPr>
              <w:rPr>
                <w:b/>
              </w:rPr>
            </w:pPr>
            <w:r>
              <w:rPr>
                <w:b/>
              </w:rPr>
              <w:t>Challenge:</w:t>
            </w:r>
          </w:p>
        </w:tc>
        <w:tc>
          <w:tcPr>
            <w:tcW w:w="7449" w:type="dxa"/>
            <w:gridSpan w:val="3"/>
          </w:tcPr>
          <w:p w14:paraId="6376EE12" w14:textId="77777777" w:rsidR="00E93801" w:rsidRPr="004B205D" w:rsidRDefault="00E93801" w:rsidP="007F7009">
            <w:pPr>
              <w:rPr>
                <w:highlight w:val="yellow"/>
              </w:rPr>
            </w:pPr>
            <w:r w:rsidRPr="004B205D">
              <w:rPr>
                <w:highlight w:val="yellow"/>
              </w:rPr>
              <w:t>(insert comment here)</w:t>
            </w:r>
          </w:p>
        </w:tc>
      </w:tr>
    </w:tbl>
    <w:p w14:paraId="37B4087F" w14:textId="77777777" w:rsidR="001578D4" w:rsidRDefault="001578D4" w:rsidP="00603635">
      <w:pPr>
        <w:rPr>
          <w:b/>
        </w:rPr>
      </w:pPr>
    </w:p>
    <w:tbl>
      <w:tblPr>
        <w:tblStyle w:val="DIATable"/>
        <w:tblW w:w="0" w:type="auto"/>
        <w:tblLook w:val="04A0" w:firstRow="1" w:lastRow="0" w:firstColumn="1" w:lastColumn="0" w:noHBand="0" w:noVBand="1"/>
      </w:tblPr>
      <w:tblGrid>
        <w:gridCol w:w="1484"/>
        <w:gridCol w:w="1653"/>
        <w:gridCol w:w="4395"/>
        <w:gridCol w:w="1401"/>
      </w:tblGrid>
      <w:tr w:rsidR="003A3E6E" w14:paraId="4D9222F6" w14:textId="77777777" w:rsidTr="00B519CB">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42A9B3" w:themeFill="accent1" w:themeFillShade="BF"/>
          </w:tcPr>
          <w:p w14:paraId="10B6BD8A" w14:textId="77777777" w:rsidR="003A3E6E" w:rsidRPr="001578D4" w:rsidRDefault="003A3E6E" w:rsidP="00B519CB">
            <w:r>
              <w:t>Core Expectation 2</w:t>
            </w:r>
            <w:r w:rsidRPr="00D73E5B">
              <w:t xml:space="preserve">: </w:t>
            </w:r>
            <w:r w:rsidR="00152B2F" w:rsidRPr="00152B2F">
              <w:t>Build and maintain a privacy culture that embodies the public service values of being impartial, accountable, trustworthy, respectful and responsive.</w:t>
            </w:r>
          </w:p>
        </w:tc>
      </w:tr>
      <w:tr w:rsidR="00046510" w14:paraId="05C21BCE" w14:textId="77777777" w:rsidTr="00D2481E">
        <w:trPr>
          <w:cantSplit w:val="0"/>
        </w:trPr>
        <w:tc>
          <w:tcPr>
            <w:tcW w:w="1484" w:type="dxa"/>
            <w:vMerge w:val="restart"/>
          </w:tcPr>
          <w:p w14:paraId="7A540A4F" w14:textId="77777777" w:rsidR="00046510" w:rsidRDefault="00046510" w:rsidP="003A3E6E">
            <w:pPr>
              <w:rPr>
                <w:b/>
              </w:rPr>
            </w:pPr>
            <w:r>
              <w:rPr>
                <w:b/>
              </w:rPr>
              <w:t>CE2.1</w:t>
            </w:r>
          </w:p>
        </w:tc>
        <w:tc>
          <w:tcPr>
            <w:tcW w:w="1653" w:type="dxa"/>
            <w:vMerge w:val="restart"/>
          </w:tcPr>
          <w:p w14:paraId="051C7BD4" w14:textId="77777777" w:rsidR="00046510" w:rsidRDefault="00046510" w:rsidP="003A3E6E">
            <w:pPr>
              <w:rPr>
                <w:b/>
              </w:rPr>
            </w:pPr>
            <w:r w:rsidRPr="001344D1">
              <w:rPr>
                <w:b/>
              </w:rPr>
              <w:t>Creating a privacy culture</w:t>
            </w:r>
          </w:p>
        </w:tc>
        <w:tc>
          <w:tcPr>
            <w:tcW w:w="4395" w:type="dxa"/>
          </w:tcPr>
          <w:p w14:paraId="30C722B2" w14:textId="77777777" w:rsidR="00046510" w:rsidRPr="005D36E7" w:rsidRDefault="00046510" w:rsidP="003A3E6E">
            <w:pPr>
              <w:rPr>
                <w:b/>
              </w:rPr>
            </w:pPr>
            <w:r>
              <w:rPr>
                <w:b/>
              </w:rPr>
              <w:t xml:space="preserve">Informal: </w:t>
            </w:r>
            <w:r w:rsidR="00360B02" w:rsidRPr="00360B02">
              <w:t>Leadership has little involvement in the development of a privacy culture.</w:t>
            </w:r>
          </w:p>
        </w:tc>
        <w:tc>
          <w:tcPr>
            <w:tcW w:w="1401" w:type="dxa"/>
            <w:vMerge w:val="restart"/>
          </w:tcPr>
          <w:p w14:paraId="628AE6B8" w14:textId="77777777" w:rsidR="00046510" w:rsidRPr="00DE51C7" w:rsidRDefault="00046510" w:rsidP="003A3E6E">
            <w:pPr>
              <w:jc w:val="center"/>
            </w:pPr>
            <w:r w:rsidRPr="00DE51C7">
              <w:rPr>
                <w:highlight w:val="yellow"/>
              </w:rPr>
              <w:t>Type rating here</w:t>
            </w:r>
          </w:p>
        </w:tc>
      </w:tr>
      <w:tr w:rsidR="00046510" w14:paraId="7BFD89F6" w14:textId="77777777" w:rsidTr="00D2481E">
        <w:trPr>
          <w:cantSplit w:val="0"/>
        </w:trPr>
        <w:tc>
          <w:tcPr>
            <w:tcW w:w="1484" w:type="dxa"/>
            <w:vMerge/>
          </w:tcPr>
          <w:p w14:paraId="02B16417" w14:textId="77777777" w:rsidR="00046510" w:rsidRDefault="00046510" w:rsidP="00046510">
            <w:pPr>
              <w:jc w:val="center"/>
              <w:rPr>
                <w:b/>
              </w:rPr>
            </w:pPr>
          </w:p>
        </w:tc>
        <w:tc>
          <w:tcPr>
            <w:tcW w:w="1653" w:type="dxa"/>
            <w:vMerge/>
          </w:tcPr>
          <w:p w14:paraId="6A5966F2" w14:textId="77777777" w:rsidR="00046510" w:rsidRDefault="00046510" w:rsidP="003A3E6E">
            <w:pPr>
              <w:rPr>
                <w:b/>
              </w:rPr>
            </w:pPr>
          </w:p>
        </w:tc>
        <w:tc>
          <w:tcPr>
            <w:tcW w:w="4395" w:type="dxa"/>
          </w:tcPr>
          <w:p w14:paraId="02CF52A6" w14:textId="77777777" w:rsidR="00046510" w:rsidRDefault="00360B02" w:rsidP="003A3E6E">
            <w:pPr>
              <w:rPr>
                <w:b/>
              </w:rPr>
            </w:pPr>
            <w:r>
              <w:rPr>
                <w:b/>
              </w:rPr>
              <w:t>Foundational</w:t>
            </w:r>
            <w:r w:rsidR="00046510">
              <w:rPr>
                <w:b/>
              </w:rPr>
              <w:t xml:space="preserve">: </w:t>
            </w:r>
            <w:r w:rsidRPr="00360B02">
              <w:t>Leadership recognises the importance of building a privacy culture and focuses on specific areas of the agency or individual initiatives.</w:t>
            </w:r>
          </w:p>
        </w:tc>
        <w:tc>
          <w:tcPr>
            <w:tcW w:w="1401" w:type="dxa"/>
            <w:vMerge/>
          </w:tcPr>
          <w:p w14:paraId="66A250AA" w14:textId="77777777" w:rsidR="00046510" w:rsidRPr="00DE51C7" w:rsidRDefault="00046510" w:rsidP="003A3E6E"/>
        </w:tc>
      </w:tr>
      <w:tr w:rsidR="00046510" w14:paraId="55BE74EA" w14:textId="77777777" w:rsidTr="00D2481E">
        <w:trPr>
          <w:cantSplit w:val="0"/>
        </w:trPr>
        <w:tc>
          <w:tcPr>
            <w:tcW w:w="1484" w:type="dxa"/>
            <w:vMerge/>
          </w:tcPr>
          <w:p w14:paraId="48A28B0B" w14:textId="77777777" w:rsidR="00046510" w:rsidRDefault="00046510" w:rsidP="003A3E6E">
            <w:pPr>
              <w:rPr>
                <w:b/>
              </w:rPr>
            </w:pPr>
          </w:p>
        </w:tc>
        <w:tc>
          <w:tcPr>
            <w:tcW w:w="1653" w:type="dxa"/>
            <w:vMerge/>
          </w:tcPr>
          <w:p w14:paraId="1EBCF566" w14:textId="77777777" w:rsidR="00046510" w:rsidRDefault="00046510" w:rsidP="003A3E6E">
            <w:pPr>
              <w:rPr>
                <w:b/>
              </w:rPr>
            </w:pPr>
          </w:p>
        </w:tc>
        <w:tc>
          <w:tcPr>
            <w:tcW w:w="4395" w:type="dxa"/>
          </w:tcPr>
          <w:p w14:paraId="521EF9B5" w14:textId="77777777" w:rsidR="00360B02" w:rsidRDefault="00046510" w:rsidP="00360B02">
            <w:r>
              <w:rPr>
                <w:b/>
              </w:rPr>
              <w:t xml:space="preserve">Managed: </w:t>
            </w:r>
            <w:r w:rsidR="00360B02">
              <w:t>Leadership delivers consistent and positive messages about how privacy is everyone’s responsibility and how privacy is an enabler of public trust and quality service delivery.</w:t>
            </w:r>
          </w:p>
          <w:p w14:paraId="095E82AD" w14:textId="77777777" w:rsidR="00046510" w:rsidRDefault="00360B02" w:rsidP="00360B02">
            <w:pPr>
              <w:rPr>
                <w:b/>
              </w:rPr>
            </w:pPr>
            <w:r>
              <w:t>Privacy culture is periodically assessed, possibly as part of a broader organisational culture survey.</w:t>
            </w:r>
          </w:p>
        </w:tc>
        <w:tc>
          <w:tcPr>
            <w:tcW w:w="1401" w:type="dxa"/>
            <w:vMerge/>
          </w:tcPr>
          <w:p w14:paraId="09C7EC3C" w14:textId="77777777" w:rsidR="00046510" w:rsidRPr="00DE51C7" w:rsidRDefault="00046510" w:rsidP="003A3E6E"/>
        </w:tc>
      </w:tr>
      <w:tr w:rsidR="00046510" w14:paraId="7B392F57" w14:textId="77777777" w:rsidTr="00D2481E">
        <w:trPr>
          <w:cantSplit w:val="0"/>
        </w:trPr>
        <w:tc>
          <w:tcPr>
            <w:tcW w:w="1484" w:type="dxa"/>
            <w:vMerge w:val="restart"/>
          </w:tcPr>
          <w:p w14:paraId="06981AEA" w14:textId="77777777" w:rsidR="00046510" w:rsidRDefault="00046510" w:rsidP="003A3E6E">
            <w:pPr>
              <w:rPr>
                <w:b/>
              </w:rPr>
            </w:pPr>
            <w:r>
              <w:rPr>
                <w:b/>
              </w:rPr>
              <w:t>CE2.2</w:t>
            </w:r>
          </w:p>
        </w:tc>
        <w:tc>
          <w:tcPr>
            <w:tcW w:w="1653" w:type="dxa"/>
            <w:vMerge w:val="restart"/>
          </w:tcPr>
          <w:p w14:paraId="144D37AF" w14:textId="77777777" w:rsidR="00046510" w:rsidRDefault="00046510" w:rsidP="003A3E6E">
            <w:pPr>
              <w:rPr>
                <w:b/>
              </w:rPr>
            </w:pPr>
            <w:r w:rsidRPr="001344D1">
              <w:rPr>
                <w:b/>
              </w:rPr>
              <w:t>Communicating privacy values and aspirations</w:t>
            </w:r>
          </w:p>
        </w:tc>
        <w:tc>
          <w:tcPr>
            <w:tcW w:w="4395" w:type="dxa"/>
          </w:tcPr>
          <w:p w14:paraId="715E02A6" w14:textId="77777777" w:rsidR="00046510" w:rsidRDefault="00046510" w:rsidP="003A3E6E">
            <w:pPr>
              <w:rPr>
                <w:b/>
              </w:rPr>
            </w:pPr>
            <w:r>
              <w:rPr>
                <w:b/>
              </w:rPr>
              <w:t xml:space="preserve">Informal: </w:t>
            </w:r>
            <w:r w:rsidR="00360B02" w:rsidRPr="00360B02">
              <w:t>Communication from senior leadership and privacy leaders is ad hoc or reactive and focuses on specific events and incidents.</w:t>
            </w:r>
          </w:p>
        </w:tc>
        <w:tc>
          <w:tcPr>
            <w:tcW w:w="1401" w:type="dxa"/>
            <w:vMerge w:val="restart"/>
          </w:tcPr>
          <w:p w14:paraId="3E987E7C" w14:textId="77777777" w:rsidR="00046510" w:rsidRPr="00DE51C7" w:rsidRDefault="00046510" w:rsidP="003A3E6E">
            <w:pPr>
              <w:jc w:val="center"/>
            </w:pPr>
            <w:r w:rsidRPr="00DE51C7">
              <w:rPr>
                <w:highlight w:val="yellow"/>
              </w:rPr>
              <w:t>Type rating here</w:t>
            </w:r>
          </w:p>
        </w:tc>
      </w:tr>
      <w:tr w:rsidR="00046510" w14:paraId="1BE34815" w14:textId="77777777" w:rsidTr="00D2481E">
        <w:trPr>
          <w:cantSplit w:val="0"/>
        </w:trPr>
        <w:tc>
          <w:tcPr>
            <w:tcW w:w="1484" w:type="dxa"/>
            <w:vMerge/>
          </w:tcPr>
          <w:p w14:paraId="5BDA03B5" w14:textId="77777777" w:rsidR="00046510" w:rsidRDefault="00046510" w:rsidP="00046510">
            <w:pPr>
              <w:jc w:val="center"/>
              <w:rPr>
                <w:b/>
              </w:rPr>
            </w:pPr>
          </w:p>
        </w:tc>
        <w:tc>
          <w:tcPr>
            <w:tcW w:w="1653" w:type="dxa"/>
            <w:vMerge/>
          </w:tcPr>
          <w:p w14:paraId="55CD0E32" w14:textId="77777777" w:rsidR="00046510" w:rsidRDefault="00046510" w:rsidP="003A3E6E">
            <w:pPr>
              <w:rPr>
                <w:b/>
              </w:rPr>
            </w:pPr>
          </w:p>
        </w:tc>
        <w:tc>
          <w:tcPr>
            <w:tcW w:w="4395" w:type="dxa"/>
          </w:tcPr>
          <w:p w14:paraId="36A66D08" w14:textId="77777777" w:rsidR="00046510" w:rsidRDefault="00360B02" w:rsidP="003A3E6E">
            <w:pPr>
              <w:rPr>
                <w:b/>
              </w:rPr>
            </w:pPr>
            <w:r>
              <w:rPr>
                <w:b/>
              </w:rPr>
              <w:t>Foundational</w:t>
            </w:r>
            <w:r w:rsidR="00046510">
              <w:rPr>
                <w:b/>
              </w:rPr>
              <w:t xml:space="preserve">: </w:t>
            </w:r>
            <w:r w:rsidRPr="00360B02">
              <w:t>Senior leadership and privacy leaders communicate the agency’s privacy values and aspirations as part of specific initiatives and/or work programmes.</w:t>
            </w:r>
          </w:p>
        </w:tc>
        <w:tc>
          <w:tcPr>
            <w:tcW w:w="1401" w:type="dxa"/>
            <w:vMerge/>
          </w:tcPr>
          <w:p w14:paraId="29B18FB8" w14:textId="77777777" w:rsidR="00046510" w:rsidRPr="00DE51C7" w:rsidRDefault="00046510" w:rsidP="003A3E6E"/>
        </w:tc>
      </w:tr>
      <w:tr w:rsidR="00046510" w14:paraId="67CA8E44" w14:textId="77777777" w:rsidTr="00D2481E">
        <w:trPr>
          <w:cantSplit w:val="0"/>
        </w:trPr>
        <w:tc>
          <w:tcPr>
            <w:tcW w:w="1484" w:type="dxa"/>
            <w:vMerge/>
          </w:tcPr>
          <w:p w14:paraId="795116FB" w14:textId="77777777" w:rsidR="00046510" w:rsidRDefault="00046510" w:rsidP="003A3E6E">
            <w:pPr>
              <w:rPr>
                <w:b/>
              </w:rPr>
            </w:pPr>
          </w:p>
        </w:tc>
        <w:tc>
          <w:tcPr>
            <w:tcW w:w="1653" w:type="dxa"/>
            <w:vMerge/>
          </w:tcPr>
          <w:p w14:paraId="36EB94B8" w14:textId="77777777" w:rsidR="00046510" w:rsidRDefault="00046510" w:rsidP="003A3E6E">
            <w:pPr>
              <w:rPr>
                <w:b/>
              </w:rPr>
            </w:pPr>
          </w:p>
        </w:tc>
        <w:tc>
          <w:tcPr>
            <w:tcW w:w="4395" w:type="dxa"/>
          </w:tcPr>
          <w:p w14:paraId="06B5224D" w14:textId="77777777" w:rsidR="00046510" w:rsidRDefault="00046510" w:rsidP="003A3E6E">
            <w:pPr>
              <w:rPr>
                <w:b/>
              </w:rPr>
            </w:pPr>
            <w:r>
              <w:rPr>
                <w:b/>
              </w:rPr>
              <w:t xml:space="preserve">Managed: </w:t>
            </w:r>
            <w:r w:rsidR="00360B02" w:rsidRPr="00360B02">
              <w:t>Senior leadership and privacy leaders communicate the agency’s clearly defined privacy values and aspirations in relevant terms throughout the agency on a schedule that is proportionate to the agency’s needs.</w:t>
            </w:r>
          </w:p>
        </w:tc>
        <w:tc>
          <w:tcPr>
            <w:tcW w:w="1401" w:type="dxa"/>
            <w:vMerge/>
          </w:tcPr>
          <w:p w14:paraId="6DF19413" w14:textId="77777777" w:rsidR="00046510" w:rsidRPr="00DE51C7" w:rsidRDefault="00046510" w:rsidP="003A3E6E"/>
        </w:tc>
      </w:tr>
      <w:tr w:rsidR="00046510" w14:paraId="6A3252E4" w14:textId="77777777" w:rsidTr="00D2481E">
        <w:trPr>
          <w:cantSplit w:val="0"/>
          <w:trHeight w:val="935"/>
        </w:trPr>
        <w:tc>
          <w:tcPr>
            <w:tcW w:w="1484" w:type="dxa"/>
            <w:vMerge w:val="restart"/>
          </w:tcPr>
          <w:p w14:paraId="60C0C029" w14:textId="77777777" w:rsidR="00046510" w:rsidRDefault="00046510" w:rsidP="003A3E6E">
            <w:pPr>
              <w:rPr>
                <w:b/>
              </w:rPr>
            </w:pPr>
            <w:r>
              <w:rPr>
                <w:b/>
              </w:rPr>
              <w:t>CE2.3</w:t>
            </w:r>
          </w:p>
        </w:tc>
        <w:tc>
          <w:tcPr>
            <w:tcW w:w="1653" w:type="dxa"/>
            <w:vMerge w:val="restart"/>
          </w:tcPr>
          <w:p w14:paraId="5D98CF97" w14:textId="77777777" w:rsidR="00046510" w:rsidRDefault="00046510" w:rsidP="003A3E6E">
            <w:pPr>
              <w:rPr>
                <w:b/>
              </w:rPr>
            </w:pPr>
            <w:r w:rsidRPr="001344D1">
              <w:rPr>
                <w:b/>
              </w:rPr>
              <w:t>Developing privacy awareness</w:t>
            </w:r>
          </w:p>
        </w:tc>
        <w:tc>
          <w:tcPr>
            <w:tcW w:w="4395" w:type="dxa"/>
          </w:tcPr>
          <w:p w14:paraId="4A60C6DF" w14:textId="77777777" w:rsidR="00046510" w:rsidRDefault="00046510" w:rsidP="003A3E6E">
            <w:pPr>
              <w:rPr>
                <w:b/>
              </w:rPr>
            </w:pPr>
            <w:r>
              <w:rPr>
                <w:b/>
              </w:rPr>
              <w:t>Informal:</w:t>
            </w:r>
            <w:r>
              <w:t xml:space="preserve"> </w:t>
            </w:r>
            <w:r w:rsidR="00360B02" w:rsidRPr="00360B02">
              <w:t>Privacy awareness is ad hoc or reactive to specific events and incidents.</w:t>
            </w:r>
          </w:p>
        </w:tc>
        <w:tc>
          <w:tcPr>
            <w:tcW w:w="1401" w:type="dxa"/>
            <w:vMerge w:val="restart"/>
          </w:tcPr>
          <w:p w14:paraId="7DBA2BE1" w14:textId="77777777" w:rsidR="00046510" w:rsidRPr="00DE51C7" w:rsidRDefault="00046510" w:rsidP="003A3E6E">
            <w:pPr>
              <w:jc w:val="center"/>
            </w:pPr>
            <w:r w:rsidRPr="00DE51C7">
              <w:rPr>
                <w:highlight w:val="yellow"/>
              </w:rPr>
              <w:t>Type rating</w:t>
            </w:r>
            <w:r w:rsidR="00F2178D" w:rsidRPr="00DE51C7">
              <w:rPr>
                <w:highlight w:val="yellow"/>
              </w:rPr>
              <w:t xml:space="preserve"> </w:t>
            </w:r>
            <w:r w:rsidRPr="00DE51C7">
              <w:rPr>
                <w:highlight w:val="yellow"/>
              </w:rPr>
              <w:t>here</w:t>
            </w:r>
          </w:p>
        </w:tc>
      </w:tr>
      <w:tr w:rsidR="00046510" w14:paraId="2FAC28B1" w14:textId="77777777" w:rsidTr="00D2481E">
        <w:trPr>
          <w:cantSplit w:val="0"/>
        </w:trPr>
        <w:tc>
          <w:tcPr>
            <w:tcW w:w="1484" w:type="dxa"/>
            <w:vMerge/>
          </w:tcPr>
          <w:p w14:paraId="27A2F448" w14:textId="77777777" w:rsidR="00046510" w:rsidRDefault="00046510" w:rsidP="00046510">
            <w:pPr>
              <w:jc w:val="center"/>
              <w:rPr>
                <w:b/>
              </w:rPr>
            </w:pPr>
          </w:p>
        </w:tc>
        <w:tc>
          <w:tcPr>
            <w:tcW w:w="1653" w:type="dxa"/>
            <w:vMerge/>
          </w:tcPr>
          <w:p w14:paraId="318246DF" w14:textId="77777777" w:rsidR="00046510" w:rsidRDefault="00046510" w:rsidP="003A3E6E">
            <w:pPr>
              <w:rPr>
                <w:b/>
              </w:rPr>
            </w:pPr>
          </w:p>
        </w:tc>
        <w:tc>
          <w:tcPr>
            <w:tcW w:w="4395" w:type="dxa"/>
          </w:tcPr>
          <w:p w14:paraId="6DE5B53F" w14:textId="77777777" w:rsidR="00046510" w:rsidRDefault="00360B02" w:rsidP="003A3E6E">
            <w:pPr>
              <w:rPr>
                <w:b/>
              </w:rPr>
            </w:pPr>
            <w:r>
              <w:rPr>
                <w:b/>
              </w:rPr>
              <w:t>Foundational</w:t>
            </w:r>
            <w:r w:rsidR="00046510">
              <w:rPr>
                <w:b/>
              </w:rPr>
              <w:t xml:space="preserve">: </w:t>
            </w:r>
            <w:r w:rsidRPr="00360B02">
              <w:t>Privacy awareness is limited and is seen as the responsibility of a few managers and specialists.</w:t>
            </w:r>
          </w:p>
        </w:tc>
        <w:tc>
          <w:tcPr>
            <w:tcW w:w="1401" w:type="dxa"/>
            <w:vMerge/>
          </w:tcPr>
          <w:p w14:paraId="206722BB" w14:textId="77777777" w:rsidR="00046510" w:rsidRDefault="00046510" w:rsidP="003A3E6E">
            <w:pPr>
              <w:rPr>
                <w:b/>
              </w:rPr>
            </w:pPr>
          </w:p>
        </w:tc>
      </w:tr>
      <w:tr w:rsidR="00046510" w14:paraId="7801AC87" w14:textId="77777777" w:rsidTr="00D2481E">
        <w:trPr>
          <w:cantSplit w:val="0"/>
        </w:trPr>
        <w:tc>
          <w:tcPr>
            <w:tcW w:w="1484" w:type="dxa"/>
            <w:vMerge/>
          </w:tcPr>
          <w:p w14:paraId="7AA1D016" w14:textId="77777777" w:rsidR="00046510" w:rsidRDefault="00046510" w:rsidP="00B519CB">
            <w:pPr>
              <w:rPr>
                <w:b/>
              </w:rPr>
            </w:pPr>
          </w:p>
        </w:tc>
        <w:tc>
          <w:tcPr>
            <w:tcW w:w="1653" w:type="dxa"/>
            <w:vMerge/>
          </w:tcPr>
          <w:p w14:paraId="2CB8C844" w14:textId="77777777" w:rsidR="00046510" w:rsidRDefault="00046510" w:rsidP="00B519CB">
            <w:pPr>
              <w:rPr>
                <w:b/>
              </w:rPr>
            </w:pPr>
          </w:p>
        </w:tc>
        <w:tc>
          <w:tcPr>
            <w:tcW w:w="4395" w:type="dxa"/>
          </w:tcPr>
          <w:p w14:paraId="47E79E50" w14:textId="77777777" w:rsidR="00046510" w:rsidRDefault="00046510" w:rsidP="00B519CB">
            <w:pPr>
              <w:rPr>
                <w:b/>
              </w:rPr>
            </w:pPr>
            <w:r>
              <w:rPr>
                <w:b/>
              </w:rPr>
              <w:t xml:space="preserve">Managed: </w:t>
            </w:r>
            <w:r w:rsidR="00360B02" w:rsidRPr="00360B02">
              <w:t>Privacy awareness clearly communicates the agency’s values, expectations and behaviours to staff and contractors.</w:t>
            </w:r>
          </w:p>
        </w:tc>
        <w:tc>
          <w:tcPr>
            <w:tcW w:w="1401" w:type="dxa"/>
            <w:vMerge/>
          </w:tcPr>
          <w:p w14:paraId="1BB13317" w14:textId="77777777" w:rsidR="00046510" w:rsidRDefault="00046510" w:rsidP="00B519CB">
            <w:pPr>
              <w:rPr>
                <w:b/>
              </w:rPr>
            </w:pPr>
          </w:p>
        </w:tc>
      </w:tr>
      <w:tr w:rsidR="00E93801" w14:paraId="5F9F82C4" w14:textId="77777777" w:rsidTr="00E50C58">
        <w:trPr>
          <w:cantSplit w:val="0"/>
        </w:trPr>
        <w:tc>
          <w:tcPr>
            <w:tcW w:w="1484" w:type="dxa"/>
          </w:tcPr>
          <w:p w14:paraId="7344B991" w14:textId="77777777" w:rsidR="00E93801" w:rsidRDefault="00E93801" w:rsidP="00E93801">
            <w:pPr>
              <w:rPr>
                <w:b/>
              </w:rPr>
            </w:pPr>
            <w:r>
              <w:rPr>
                <w:b/>
              </w:rPr>
              <w:t>Context</w:t>
            </w:r>
            <w:r w:rsidRPr="00E93801">
              <w:rPr>
                <w:b/>
              </w:rPr>
              <w:t>:</w:t>
            </w:r>
          </w:p>
        </w:tc>
        <w:tc>
          <w:tcPr>
            <w:tcW w:w="7449" w:type="dxa"/>
            <w:gridSpan w:val="3"/>
          </w:tcPr>
          <w:p w14:paraId="2E8FD9B3" w14:textId="77777777" w:rsidR="00E93801" w:rsidRPr="00D73E5B" w:rsidRDefault="00E93801" w:rsidP="00E93801">
            <w:r w:rsidRPr="004B205D">
              <w:rPr>
                <w:highlight w:val="yellow"/>
              </w:rPr>
              <w:t>(insert comment here)</w:t>
            </w:r>
          </w:p>
        </w:tc>
      </w:tr>
      <w:tr w:rsidR="00E93801" w14:paraId="6B4DF75E" w14:textId="77777777" w:rsidTr="00E50C58">
        <w:trPr>
          <w:cantSplit w:val="0"/>
        </w:trPr>
        <w:tc>
          <w:tcPr>
            <w:tcW w:w="1484" w:type="dxa"/>
          </w:tcPr>
          <w:p w14:paraId="056871C6" w14:textId="77777777" w:rsidR="00E93801" w:rsidRDefault="00E93801" w:rsidP="00E93801">
            <w:pPr>
              <w:rPr>
                <w:b/>
              </w:rPr>
            </w:pPr>
            <w:r>
              <w:rPr>
                <w:b/>
              </w:rPr>
              <w:t>Achievement:</w:t>
            </w:r>
          </w:p>
        </w:tc>
        <w:tc>
          <w:tcPr>
            <w:tcW w:w="7449" w:type="dxa"/>
            <w:gridSpan w:val="3"/>
          </w:tcPr>
          <w:p w14:paraId="12E160DF" w14:textId="77777777" w:rsidR="00E93801" w:rsidRPr="004B205D" w:rsidRDefault="00E93801" w:rsidP="00E93801">
            <w:pPr>
              <w:rPr>
                <w:highlight w:val="yellow"/>
              </w:rPr>
            </w:pPr>
            <w:r w:rsidRPr="004B205D">
              <w:rPr>
                <w:highlight w:val="yellow"/>
              </w:rPr>
              <w:t>(insert comment here)</w:t>
            </w:r>
          </w:p>
        </w:tc>
      </w:tr>
      <w:tr w:rsidR="00E93801" w14:paraId="413CF8A6" w14:textId="77777777" w:rsidTr="00E50C58">
        <w:trPr>
          <w:cantSplit w:val="0"/>
        </w:trPr>
        <w:tc>
          <w:tcPr>
            <w:tcW w:w="1484" w:type="dxa"/>
          </w:tcPr>
          <w:p w14:paraId="2917BF5F" w14:textId="77777777" w:rsidR="00E93801" w:rsidRDefault="00E93801" w:rsidP="00E93801">
            <w:pPr>
              <w:rPr>
                <w:b/>
              </w:rPr>
            </w:pPr>
            <w:r>
              <w:rPr>
                <w:b/>
              </w:rPr>
              <w:t>Future focus:</w:t>
            </w:r>
          </w:p>
        </w:tc>
        <w:tc>
          <w:tcPr>
            <w:tcW w:w="7449" w:type="dxa"/>
            <w:gridSpan w:val="3"/>
          </w:tcPr>
          <w:p w14:paraId="0F155A7C" w14:textId="77777777" w:rsidR="00E93801" w:rsidRPr="004B205D" w:rsidRDefault="00E93801" w:rsidP="00E93801">
            <w:pPr>
              <w:rPr>
                <w:highlight w:val="yellow"/>
              </w:rPr>
            </w:pPr>
            <w:r w:rsidRPr="004B205D">
              <w:rPr>
                <w:highlight w:val="yellow"/>
              </w:rPr>
              <w:t>(insert comment here)</w:t>
            </w:r>
          </w:p>
        </w:tc>
      </w:tr>
      <w:tr w:rsidR="00E93801" w14:paraId="3214FB26" w14:textId="77777777" w:rsidTr="00E50C58">
        <w:trPr>
          <w:cantSplit w:val="0"/>
        </w:trPr>
        <w:tc>
          <w:tcPr>
            <w:tcW w:w="1484" w:type="dxa"/>
          </w:tcPr>
          <w:p w14:paraId="5B1BDB95" w14:textId="77777777" w:rsidR="00E93801" w:rsidRDefault="00E93801" w:rsidP="00E93801">
            <w:pPr>
              <w:rPr>
                <w:b/>
              </w:rPr>
            </w:pPr>
            <w:r>
              <w:rPr>
                <w:b/>
              </w:rPr>
              <w:t>Challenge:</w:t>
            </w:r>
          </w:p>
        </w:tc>
        <w:tc>
          <w:tcPr>
            <w:tcW w:w="7449" w:type="dxa"/>
            <w:gridSpan w:val="3"/>
          </w:tcPr>
          <w:p w14:paraId="56C3D6D1" w14:textId="77777777" w:rsidR="00E93801" w:rsidRPr="004B205D" w:rsidRDefault="00E93801" w:rsidP="00E93801">
            <w:pPr>
              <w:rPr>
                <w:highlight w:val="yellow"/>
              </w:rPr>
            </w:pPr>
            <w:r w:rsidRPr="004B205D">
              <w:rPr>
                <w:highlight w:val="yellow"/>
              </w:rPr>
              <w:t>(insert comment here)</w:t>
            </w:r>
          </w:p>
        </w:tc>
      </w:tr>
    </w:tbl>
    <w:p w14:paraId="69F3B7DE" w14:textId="77777777" w:rsidR="00975C63" w:rsidRDefault="00975C63">
      <w:pPr>
        <w:keepLines w:val="0"/>
        <w:rPr>
          <w:b/>
        </w:rPr>
      </w:pPr>
    </w:p>
    <w:tbl>
      <w:tblPr>
        <w:tblStyle w:val="DIATable"/>
        <w:tblW w:w="0" w:type="auto"/>
        <w:tblLook w:val="04A0" w:firstRow="1" w:lastRow="0" w:firstColumn="1" w:lastColumn="0" w:noHBand="0" w:noVBand="1"/>
      </w:tblPr>
      <w:tblGrid>
        <w:gridCol w:w="1484"/>
        <w:gridCol w:w="1654"/>
        <w:gridCol w:w="4394"/>
        <w:gridCol w:w="1401"/>
      </w:tblGrid>
      <w:tr w:rsidR="003A3E6E" w14:paraId="00EB9B79" w14:textId="77777777" w:rsidTr="00B519CB">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42A9B3" w:themeFill="accent1" w:themeFillShade="BF"/>
          </w:tcPr>
          <w:p w14:paraId="45E1C266" w14:textId="77777777" w:rsidR="003A3E6E" w:rsidRPr="001578D4" w:rsidRDefault="003A3E6E" w:rsidP="00B519CB">
            <w:r>
              <w:t>Core Expectation 3</w:t>
            </w:r>
            <w:r w:rsidRPr="00D73E5B">
              <w:t xml:space="preserve">: </w:t>
            </w:r>
            <w:r w:rsidR="00F2178D" w:rsidRPr="00F2178D">
              <w:t>Build and maintain privacy capability so that people have the knowledge and skills they need to contribute to good privacy practice.</w:t>
            </w:r>
          </w:p>
        </w:tc>
      </w:tr>
      <w:tr w:rsidR="00046510" w14:paraId="0FD8B310" w14:textId="77777777" w:rsidTr="00D2481E">
        <w:trPr>
          <w:cantSplit w:val="0"/>
        </w:trPr>
        <w:tc>
          <w:tcPr>
            <w:tcW w:w="1484" w:type="dxa"/>
            <w:vMerge w:val="restart"/>
          </w:tcPr>
          <w:p w14:paraId="69B83151" w14:textId="77777777" w:rsidR="00046510" w:rsidRDefault="00046510" w:rsidP="003A3E6E">
            <w:pPr>
              <w:rPr>
                <w:b/>
              </w:rPr>
            </w:pPr>
            <w:r>
              <w:rPr>
                <w:b/>
              </w:rPr>
              <w:t>CE3.1</w:t>
            </w:r>
          </w:p>
        </w:tc>
        <w:tc>
          <w:tcPr>
            <w:tcW w:w="1654" w:type="dxa"/>
            <w:vMerge w:val="restart"/>
          </w:tcPr>
          <w:p w14:paraId="5A48F1C0" w14:textId="77777777" w:rsidR="00046510" w:rsidRDefault="00046510" w:rsidP="003A3E6E">
            <w:pPr>
              <w:rPr>
                <w:b/>
              </w:rPr>
            </w:pPr>
            <w:r w:rsidRPr="001344D1">
              <w:rPr>
                <w:b/>
              </w:rPr>
              <w:t>Conducting privacy training</w:t>
            </w:r>
          </w:p>
        </w:tc>
        <w:tc>
          <w:tcPr>
            <w:tcW w:w="4394" w:type="dxa"/>
          </w:tcPr>
          <w:p w14:paraId="3B6F4BAF" w14:textId="77777777" w:rsidR="00046510" w:rsidRPr="005D36E7" w:rsidRDefault="00046510" w:rsidP="003A3E6E">
            <w:pPr>
              <w:rPr>
                <w:b/>
              </w:rPr>
            </w:pPr>
            <w:r>
              <w:rPr>
                <w:b/>
              </w:rPr>
              <w:t xml:space="preserve">Informal: </w:t>
            </w:r>
            <w:r w:rsidR="00360B02" w:rsidRPr="00360B02">
              <w:t>Privacy training for staff and contractors is conducted on an ad hoc basis.</w:t>
            </w:r>
          </w:p>
        </w:tc>
        <w:tc>
          <w:tcPr>
            <w:tcW w:w="1401" w:type="dxa"/>
            <w:vMerge w:val="restart"/>
          </w:tcPr>
          <w:p w14:paraId="37B758DC" w14:textId="77777777" w:rsidR="00046510" w:rsidRPr="00DE51C7" w:rsidRDefault="00046510" w:rsidP="003A3E6E">
            <w:pPr>
              <w:jc w:val="center"/>
            </w:pPr>
            <w:r w:rsidRPr="00DE51C7">
              <w:rPr>
                <w:highlight w:val="yellow"/>
              </w:rPr>
              <w:t>Type rating here</w:t>
            </w:r>
          </w:p>
        </w:tc>
      </w:tr>
      <w:tr w:rsidR="00046510" w14:paraId="31BAC1E2" w14:textId="77777777" w:rsidTr="00D2481E">
        <w:trPr>
          <w:cantSplit w:val="0"/>
        </w:trPr>
        <w:tc>
          <w:tcPr>
            <w:tcW w:w="1484" w:type="dxa"/>
            <w:vMerge/>
          </w:tcPr>
          <w:p w14:paraId="075A16B4" w14:textId="77777777" w:rsidR="00046510" w:rsidRDefault="00046510" w:rsidP="00046510">
            <w:pPr>
              <w:jc w:val="center"/>
              <w:rPr>
                <w:b/>
              </w:rPr>
            </w:pPr>
          </w:p>
        </w:tc>
        <w:tc>
          <w:tcPr>
            <w:tcW w:w="1654" w:type="dxa"/>
            <w:vMerge/>
          </w:tcPr>
          <w:p w14:paraId="2625991C" w14:textId="77777777" w:rsidR="00046510" w:rsidRDefault="00046510" w:rsidP="003A3E6E">
            <w:pPr>
              <w:rPr>
                <w:b/>
              </w:rPr>
            </w:pPr>
          </w:p>
        </w:tc>
        <w:tc>
          <w:tcPr>
            <w:tcW w:w="4394" w:type="dxa"/>
          </w:tcPr>
          <w:p w14:paraId="0B6F96F9" w14:textId="77777777" w:rsidR="00046510" w:rsidRDefault="00360B02" w:rsidP="003A3E6E">
            <w:pPr>
              <w:rPr>
                <w:b/>
              </w:rPr>
            </w:pPr>
            <w:r>
              <w:rPr>
                <w:b/>
              </w:rPr>
              <w:t>Foundational</w:t>
            </w:r>
            <w:r w:rsidR="00046510">
              <w:rPr>
                <w:b/>
              </w:rPr>
              <w:t xml:space="preserve">: </w:t>
            </w:r>
            <w:r w:rsidRPr="00360B02">
              <w:t>At induction, staff, and sometimes contractors, receive privacy training on the agency’s privacy values, policies, practices and risks.</w:t>
            </w:r>
          </w:p>
        </w:tc>
        <w:tc>
          <w:tcPr>
            <w:tcW w:w="1401" w:type="dxa"/>
            <w:vMerge/>
          </w:tcPr>
          <w:p w14:paraId="52FF9317" w14:textId="77777777" w:rsidR="00046510" w:rsidRPr="00DE51C7" w:rsidRDefault="00046510" w:rsidP="003A3E6E"/>
        </w:tc>
      </w:tr>
      <w:tr w:rsidR="00046510" w14:paraId="6F13CBF4" w14:textId="77777777" w:rsidTr="00D2481E">
        <w:trPr>
          <w:cantSplit w:val="0"/>
        </w:trPr>
        <w:tc>
          <w:tcPr>
            <w:tcW w:w="1484" w:type="dxa"/>
            <w:vMerge/>
          </w:tcPr>
          <w:p w14:paraId="64ACBD7C" w14:textId="77777777" w:rsidR="00046510" w:rsidRDefault="00046510" w:rsidP="003A3E6E">
            <w:pPr>
              <w:rPr>
                <w:b/>
              </w:rPr>
            </w:pPr>
          </w:p>
        </w:tc>
        <w:tc>
          <w:tcPr>
            <w:tcW w:w="1654" w:type="dxa"/>
            <w:vMerge/>
          </w:tcPr>
          <w:p w14:paraId="51EE3BB3" w14:textId="77777777" w:rsidR="00046510" w:rsidRDefault="00046510" w:rsidP="003A3E6E">
            <w:pPr>
              <w:rPr>
                <w:b/>
              </w:rPr>
            </w:pPr>
          </w:p>
        </w:tc>
        <w:tc>
          <w:tcPr>
            <w:tcW w:w="4394" w:type="dxa"/>
          </w:tcPr>
          <w:p w14:paraId="3B753352" w14:textId="77777777" w:rsidR="00046510" w:rsidRDefault="00046510" w:rsidP="003A3E6E">
            <w:pPr>
              <w:rPr>
                <w:b/>
              </w:rPr>
            </w:pPr>
            <w:r>
              <w:rPr>
                <w:b/>
              </w:rPr>
              <w:t xml:space="preserve">Managed: </w:t>
            </w:r>
            <w:r w:rsidR="00360B02" w:rsidRPr="00360B02">
              <w:t>At induction and then on a regular basis, staff and contractors receive privacy training on the agency’s privacy values, policies, practices and risks that is relevant to their roles and supports them to be effective and trusted custodians of personal information.</w:t>
            </w:r>
          </w:p>
        </w:tc>
        <w:tc>
          <w:tcPr>
            <w:tcW w:w="1401" w:type="dxa"/>
            <w:vMerge/>
          </w:tcPr>
          <w:p w14:paraId="1A3E9CD8" w14:textId="77777777" w:rsidR="00046510" w:rsidRPr="00DE51C7" w:rsidRDefault="00046510" w:rsidP="003A3E6E"/>
        </w:tc>
      </w:tr>
      <w:tr w:rsidR="00046510" w14:paraId="249BB5C1" w14:textId="77777777" w:rsidTr="00D2481E">
        <w:trPr>
          <w:cantSplit w:val="0"/>
        </w:trPr>
        <w:tc>
          <w:tcPr>
            <w:tcW w:w="1484" w:type="dxa"/>
            <w:vMerge w:val="restart"/>
          </w:tcPr>
          <w:p w14:paraId="65844666" w14:textId="77777777" w:rsidR="00046510" w:rsidRDefault="00046510" w:rsidP="003A3E6E">
            <w:pPr>
              <w:rPr>
                <w:b/>
              </w:rPr>
            </w:pPr>
            <w:r>
              <w:rPr>
                <w:b/>
              </w:rPr>
              <w:t>CE3.2</w:t>
            </w:r>
          </w:p>
        </w:tc>
        <w:tc>
          <w:tcPr>
            <w:tcW w:w="1654" w:type="dxa"/>
            <w:vMerge w:val="restart"/>
          </w:tcPr>
          <w:p w14:paraId="1E8DB383" w14:textId="77777777" w:rsidR="00046510" w:rsidRDefault="00046510" w:rsidP="003A3E6E">
            <w:pPr>
              <w:rPr>
                <w:b/>
              </w:rPr>
            </w:pPr>
            <w:r w:rsidRPr="001344D1">
              <w:rPr>
                <w:b/>
              </w:rPr>
              <w:t>Monitoring and updating privacy training</w:t>
            </w:r>
          </w:p>
        </w:tc>
        <w:tc>
          <w:tcPr>
            <w:tcW w:w="4394" w:type="dxa"/>
          </w:tcPr>
          <w:p w14:paraId="3D2C771D" w14:textId="77777777" w:rsidR="00046510" w:rsidRDefault="00046510" w:rsidP="003A3E6E">
            <w:pPr>
              <w:rPr>
                <w:b/>
              </w:rPr>
            </w:pPr>
            <w:r>
              <w:rPr>
                <w:b/>
              </w:rPr>
              <w:t xml:space="preserve">Informal: </w:t>
            </w:r>
            <w:r w:rsidR="00360B02" w:rsidRPr="00360B02">
              <w:t>Updates to privacy training content is ad hoc.</w:t>
            </w:r>
          </w:p>
        </w:tc>
        <w:tc>
          <w:tcPr>
            <w:tcW w:w="1401" w:type="dxa"/>
            <w:vMerge w:val="restart"/>
          </w:tcPr>
          <w:p w14:paraId="6DE27B29" w14:textId="77777777" w:rsidR="00046510" w:rsidRPr="00DE51C7" w:rsidRDefault="00046510" w:rsidP="003A3E6E">
            <w:pPr>
              <w:jc w:val="center"/>
            </w:pPr>
            <w:r w:rsidRPr="00DE51C7">
              <w:rPr>
                <w:highlight w:val="yellow"/>
              </w:rPr>
              <w:t>Type rating here</w:t>
            </w:r>
          </w:p>
        </w:tc>
      </w:tr>
      <w:tr w:rsidR="00046510" w14:paraId="36D981C8" w14:textId="77777777" w:rsidTr="00D2481E">
        <w:trPr>
          <w:cantSplit w:val="0"/>
        </w:trPr>
        <w:tc>
          <w:tcPr>
            <w:tcW w:w="1484" w:type="dxa"/>
            <w:vMerge/>
          </w:tcPr>
          <w:p w14:paraId="04986949" w14:textId="77777777" w:rsidR="00046510" w:rsidRDefault="00046510" w:rsidP="00046510">
            <w:pPr>
              <w:jc w:val="center"/>
              <w:rPr>
                <w:b/>
              </w:rPr>
            </w:pPr>
          </w:p>
        </w:tc>
        <w:tc>
          <w:tcPr>
            <w:tcW w:w="1654" w:type="dxa"/>
            <w:vMerge/>
          </w:tcPr>
          <w:p w14:paraId="660BC386" w14:textId="77777777" w:rsidR="00046510" w:rsidRDefault="00046510" w:rsidP="003A3E6E">
            <w:pPr>
              <w:rPr>
                <w:b/>
              </w:rPr>
            </w:pPr>
          </w:p>
        </w:tc>
        <w:tc>
          <w:tcPr>
            <w:tcW w:w="4394" w:type="dxa"/>
          </w:tcPr>
          <w:p w14:paraId="6C58D9BF" w14:textId="77777777" w:rsidR="00046510" w:rsidRDefault="00360B02" w:rsidP="003A3E6E">
            <w:pPr>
              <w:rPr>
                <w:b/>
              </w:rPr>
            </w:pPr>
            <w:r>
              <w:rPr>
                <w:b/>
              </w:rPr>
              <w:t>Foundational</w:t>
            </w:r>
            <w:r w:rsidR="00046510">
              <w:rPr>
                <w:b/>
              </w:rPr>
              <w:t xml:space="preserve">: </w:t>
            </w:r>
            <w:r w:rsidRPr="00360B02">
              <w:t>Privacy training content is updated periodically.</w:t>
            </w:r>
          </w:p>
        </w:tc>
        <w:tc>
          <w:tcPr>
            <w:tcW w:w="1401" w:type="dxa"/>
            <w:vMerge/>
          </w:tcPr>
          <w:p w14:paraId="27A66E12" w14:textId="77777777" w:rsidR="00046510" w:rsidRPr="00DE51C7" w:rsidRDefault="00046510" w:rsidP="003A3E6E"/>
        </w:tc>
      </w:tr>
      <w:tr w:rsidR="00046510" w14:paraId="5C34CD8D" w14:textId="77777777" w:rsidTr="00D2481E">
        <w:trPr>
          <w:cantSplit w:val="0"/>
        </w:trPr>
        <w:tc>
          <w:tcPr>
            <w:tcW w:w="1484" w:type="dxa"/>
            <w:vMerge/>
          </w:tcPr>
          <w:p w14:paraId="515495F2" w14:textId="77777777" w:rsidR="00046510" w:rsidRDefault="00046510" w:rsidP="003A3E6E">
            <w:pPr>
              <w:rPr>
                <w:b/>
              </w:rPr>
            </w:pPr>
          </w:p>
        </w:tc>
        <w:tc>
          <w:tcPr>
            <w:tcW w:w="1654" w:type="dxa"/>
            <w:vMerge/>
          </w:tcPr>
          <w:p w14:paraId="350938E9" w14:textId="77777777" w:rsidR="00046510" w:rsidRDefault="00046510" w:rsidP="003A3E6E">
            <w:pPr>
              <w:rPr>
                <w:b/>
              </w:rPr>
            </w:pPr>
          </w:p>
        </w:tc>
        <w:tc>
          <w:tcPr>
            <w:tcW w:w="4394" w:type="dxa"/>
          </w:tcPr>
          <w:p w14:paraId="3DD90DDF" w14:textId="77777777" w:rsidR="00046510" w:rsidRDefault="00046510" w:rsidP="003A3E6E">
            <w:pPr>
              <w:rPr>
                <w:b/>
              </w:rPr>
            </w:pPr>
            <w:r>
              <w:rPr>
                <w:b/>
              </w:rPr>
              <w:t xml:space="preserve">Managed: </w:t>
            </w:r>
            <w:r w:rsidR="00360B02" w:rsidRPr="00360B02">
              <w:t>Privacy training needs are monitored and training content is reassessed to ensure that it remains fit for purpose.</w:t>
            </w:r>
          </w:p>
        </w:tc>
        <w:tc>
          <w:tcPr>
            <w:tcW w:w="1401" w:type="dxa"/>
            <w:vMerge/>
          </w:tcPr>
          <w:p w14:paraId="4AF60BF0" w14:textId="77777777" w:rsidR="00046510" w:rsidRPr="00DE51C7" w:rsidRDefault="00046510" w:rsidP="003A3E6E"/>
        </w:tc>
      </w:tr>
      <w:tr w:rsidR="00046510" w14:paraId="59990F92" w14:textId="77777777" w:rsidTr="00D2481E">
        <w:trPr>
          <w:cantSplit w:val="0"/>
          <w:trHeight w:val="935"/>
        </w:trPr>
        <w:tc>
          <w:tcPr>
            <w:tcW w:w="1484" w:type="dxa"/>
            <w:vMerge w:val="restart"/>
          </w:tcPr>
          <w:p w14:paraId="70BE927B" w14:textId="77777777" w:rsidR="00046510" w:rsidRDefault="00046510" w:rsidP="003A3E6E">
            <w:pPr>
              <w:rPr>
                <w:b/>
              </w:rPr>
            </w:pPr>
            <w:r>
              <w:rPr>
                <w:b/>
              </w:rPr>
              <w:lastRenderedPageBreak/>
              <w:t>CE3.3</w:t>
            </w:r>
          </w:p>
        </w:tc>
        <w:tc>
          <w:tcPr>
            <w:tcW w:w="1654" w:type="dxa"/>
            <w:vMerge w:val="restart"/>
          </w:tcPr>
          <w:p w14:paraId="5A0666FA" w14:textId="77777777" w:rsidR="00046510" w:rsidRDefault="00046510" w:rsidP="003A3E6E">
            <w:pPr>
              <w:rPr>
                <w:b/>
              </w:rPr>
            </w:pPr>
            <w:r w:rsidRPr="001344D1">
              <w:rPr>
                <w:b/>
              </w:rPr>
              <w:t>Providing additional privacy training</w:t>
            </w:r>
          </w:p>
        </w:tc>
        <w:tc>
          <w:tcPr>
            <w:tcW w:w="4394" w:type="dxa"/>
          </w:tcPr>
          <w:p w14:paraId="42A96D0C" w14:textId="77777777" w:rsidR="00046510" w:rsidRDefault="00046510" w:rsidP="003A3E6E">
            <w:pPr>
              <w:rPr>
                <w:b/>
              </w:rPr>
            </w:pPr>
            <w:r>
              <w:rPr>
                <w:b/>
              </w:rPr>
              <w:t>Informal:</w:t>
            </w:r>
            <w:r>
              <w:t xml:space="preserve"> </w:t>
            </w:r>
            <w:r w:rsidR="00360B02" w:rsidRPr="00360B02">
              <w:t>There is little or no additional training for staff and contractors before they are given access to certain classes of personal information (for example, health information) that may fall under a Privacy Code and/or may require additional privacy knowledge to manage properly.</w:t>
            </w:r>
          </w:p>
        </w:tc>
        <w:tc>
          <w:tcPr>
            <w:tcW w:w="1401" w:type="dxa"/>
            <w:vMerge w:val="restart"/>
          </w:tcPr>
          <w:p w14:paraId="78C9323C" w14:textId="77777777" w:rsidR="00046510" w:rsidRPr="00DE51C7" w:rsidRDefault="00046510" w:rsidP="003A3E6E">
            <w:pPr>
              <w:jc w:val="center"/>
            </w:pPr>
            <w:r w:rsidRPr="00DE51C7">
              <w:rPr>
                <w:highlight w:val="yellow"/>
              </w:rPr>
              <w:t>Type rating here</w:t>
            </w:r>
          </w:p>
        </w:tc>
      </w:tr>
      <w:tr w:rsidR="00046510" w14:paraId="4DEDA106" w14:textId="77777777" w:rsidTr="00D2481E">
        <w:trPr>
          <w:cantSplit w:val="0"/>
        </w:trPr>
        <w:tc>
          <w:tcPr>
            <w:tcW w:w="1484" w:type="dxa"/>
            <w:vMerge/>
          </w:tcPr>
          <w:p w14:paraId="5FF743E8" w14:textId="77777777" w:rsidR="00046510" w:rsidRDefault="00046510" w:rsidP="00046510">
            <w:pPr>
              <w:jc w:val="center"/>
              <w:rPr>
                <w:b/>
              </w:rPr>
            </w:pPr>
          </w:p>
        </w:tc>
        <w:tc>
          <w:tcPr>
            <w:tcW w:w="1654" w:type="dxa"/>
            <w:vMerge/>
          </w:tcPr>
          <w:p w14:paraId="2BF4FC64" w14:textId="77777777" w:rsidR="00046510" w:rsidRDefault="00046510" w:rsidP="003A3E6E">
            <w:pPr>
              <w:rPr>
                <w:b/>
              </w:rPr>
            </w:pPr>
          </w:p>
        </w:tc>
        <w:tc>
          <w:tcPr>
            <w:tcW w:w="4394" w:type="dxa"/>
          </w:tcPr>
          <w:p w14:paraId="70834B63" w14:textId="77777777" w:rsidR="00046510" w:rsidRDefault="00360B02" w:rsidP="003A3E6E">
            <w:pPr>
              <w:rPr>
                <w:b/>
              </w:rPr>
            </w:pPr>
            <w:r>
              <w:rPr>
                <w:b/>
              </w:rPr>
              <w:t>Foundational</w:t>
            </w:r>
            <w:r w:rsidR="00046510">
              <w:rPr>
                <w:b/>
              </w:rPr>
              <w:t xml:space="preserve">: </w:t>
            </w:r>
            <w:r w:rsidRPr="00360B02">
              <w:t>Staff may have additional training before they are given access to certain classes of personal information (for example, health information) that may fall under a Privacy Code and/or may require additional privacy knowledge to manage properly. Contractors generally do not have additional training.</w:t>
            </w:r>
          </w:p>
        </w:tc>
        <w:tc>
          <w:tcPr>
            <w:tcW w:w="1401" w:type="dxa"/>
            <w:vMerge/>
          </w:tcPr>
          <w:p w14:paraId="77F0049B" w14:textId="77777777" w:rsidR="00046510" w:rsidRDefault="00046510" w:rsidP="003A3E6E">
            <w:pPr>
              <w:rPr>
                <w:b/>
              </w:rPr>
            </w:pPr>
          </w:p>
        </w:tc>
      </w:tr>
      <w:tr w:rsidR="00046510" w14:paraId="0D52847F" w14:textId="77777777" w:rsidTr="00D2481E">
        <w:trPr>
          <w:cantSplit w:val="0"/>
        </w:trPr>
        <w:tc>
          <w:tcPr>
            <w:tcW w:w="1484" w:type="dxa"/>
            <w:vMerge/>
          </w:tcPr>
          <w:p w14:paraId="3047409E" w14:textId="77777777" w:rsidR="00046510" w:rsidRDefault="00046510" w:rsidP="003A3E6E">
            <w:pPr>
              <w:rPr>
                <w:b/>
              </w:rPr>
            </w:pPr>
          </w:p>
        </w:tc>
        <w:tc>
          <w:tcPr>
            <w:tcW w:w="1654" w:type="dxa"/>
            <w:vMerge/>
          </w:tcPr>
          <w:p w14:paraId="3886B448" w14:textId="77777777" w:rsidR="00046510" w:rsidRDefault="00046510" w:rsidP="003A3E6E">
            <w:pPr>
              <w:rPr>
                <w:b/>
              </w:rPr>
            </w:pPr>
          </w:p>
        </w:tc>
        <w:tc>
          <w:tcPr>
            <w:tcW w:w="4394" w:type="dxa"/>
          </w:tcPr>
          <w:p w14:paraId="22BF018E" w14:textId="77777777" w:rsidR="00046510" w:rsidRDefault="00046510" w:rsidP="003A3E6E">
            <w:pPr>
              <w:rPr>
                <w:b/>
              </w:rPr>
            </w:pPr>
            <w:r>
              <w:rPr>
                <w:b/>
              </w:rPr>
              <w:t xml:space="preserve">Managed: </w:t>
            </w:r>
            <w:r w:rsidR="00360B02" w:rsidRPr="00360B02">
              <w:t>Staff and contractors know how to access appropriate advice that they should understand before they are given access to certain classes of personal information (for example, health information) that may fall under a Privacy Code and/or may require additional privacy knowledge to manage properly.</w:t>
            </w:r>
          </w:p>
        </w:tc>
        <w:tc>
          <w:tcPr>
            <w:tcW w:w="1401" w:type="dxa"/>
            <w:vMerge/>
          </w:tcPr>
          <w:p w14:paraId="14AB5E6F" w14:textId="77777777" w:rsidR="00046510" w:rsidRDefault="00046510" w:rsidP="003A3E6E">
            <w:pPr>
              <w:rPr>
                <w:b/>
              </w:rPr>
            </w:pPr>
          </w:p>
        </w:tc>
      </w:tr>
      <w:tr w:rsidR="00E93801" w14:paraId="2E0D2620" w14:textId="77777777" w:rsidTr="00E50C58">
        <w:trPr>
          <w:cantSplit w:val="0"/>
        </w:trPr>
        <w:tc>
          <w:tcPr>
            <w:tcW w:w="1484" w:type="dxa"/>
          </w:tcPr>
          <w:p w14:paraId="31B1AA25" w14:textId="77777777" w:rsidR="00E93801" w:rsidRDefault="00E93801" w:rsidP="00E93801">
            <w:pPr>
              <w:rPr>
                <w:b/>
              </w:rPr>
            </w:pPr>
            <w:r>
              <w:rPr>
                <w:b/>
              </w:rPr>
              <w:t>Context</w:t>
            </w:r>
            <w:r w:rsidRPr="00E93801">
              <w:rPr>
                <w:b/>
              </w:rPr>
              <w:t>:</w:t>
            </w:r>
          </w:p>
        </w:tc>
        <w:tc>
          <w:tcPr>
            <w:tcW w:w="7449" w:type="dxa"/>
            <w:gridSpan w:val="3"/>
          </w:tcPr>
          <w:p w14:paraId="07D91527" w14:textId="77777777" w:rsidR="00E93801" w:rsidRPr="00D73E5B" w:rsidRDefault="00E93801" w:rsidP="00E93801">
            <w:r w:rsidRPr="004B205D">
              <w:rPr>
                <w:highlight w:val="yellow"/>
              </w:rPr>
              <w:t>(insert comment here)</w:t>
            </w:r>
          </w:p>
        </w:tc>
      </w:tr>
      <w:tr w:rsidR="00E93801" w14:paraId="705FC12E" w14:textId="77777777" w:rsidTr="00E50C58">
        <w:trPr>
          <w:cantSplit w:val="0"/>
        </w:trPr>
        <w:tc>
          <w:tcPr>
            <w:tcW w:w="1484" w:type="dxa"/>
          </w:tcPr>
          <w:p w14:paraId="497C72DD" w14:textId="77777777" w:rsidR="00E93801" w:rsidRDefault="00E93801" w:rsidP="00E93801">
            <w:pPr>
              <w:rPr>
                <w:b/>
              </w:rPr>
            </w:pPr>
            <w:r>
              <w:rPr>
                <w:b/>
              </w:rPr>
              <w:t>Achievement:</w:t>
            </w:r>
          </w:p>
        </w:tc>
        <w:tc>
          <w:tcPr>
            <w:tcW w:w="7449" w:type="dxa"/>
            <w:gridSpan w:val="3"/>
          </w:tcPr>
          <w:p w14:paraId="464F6EF0" w14:textId="77777777" w:rsidR="00E93801" w:rsidRPr="004B205D" w:rsidRDefault="00E93801" w:rsidP="00E93801">
            <w:pPr>
              <w:rPr>
                <w:highlight w:val="yellow"/>
              </w:rPr>
            </w:pPr>
            <w:r w:rsidRPr="004B205D">
              <w:rPr>
                <w:highlight w:val="yellow"/>
              </w:rPr>
              <w:t>(insert comment here)</w:t>
            </w:r>
          </w:p>
        </w:tc>
      </w:tr>
      <w:tr w:rsidR="00E93801" w14:paraId="390E26EC" w14:textId="77777777" w:rsidTr="00E50C58">
        <w:trPr>
          <w:cantSplit w:val="0"/>
        </w:trPr>
        <w:tc>
          <w:tcPr>
            <w:tcW w:w="1484" w:type="dxa"/>
          </w:tcPr>
          <w:p w14:paraId="2482F34E" w14:textId="77777777" w:rsidR="00E93801" w:rsidRDefault="00E93801" w:rsidP="00E93801">
            <w:pPr>
              <w:rPr>
                <w:b/>
              </w:rPr>
            </w:pPr>
            <w:r>
              <w:rPr>
                <w:b/>
              </w:rPr>
              <w:t>Future focus:</w:t>
            </w:r>
          </w:p>
        </w:tc>
        <w:tc>
          <w:tcPr>
            <w:tcW w:w="7449" w:type="dxa"/>
            <w:gridSpan w:val="3"/>
          </w:tcPr>
          <w:p w14:paraId="4EBCB8E6" w14:textId="77777777" w:rsidR="00E93801" w:rsidRPr="004B205D" w:rsidRDefault="00E93801" w:rsidP="00E93801">
            <w:pPr>
              <w:rPr>
                <w:highlight w:val="yellow"/>
              </w:rPr>
            </w:pPr>
            <w:r w:rsidRPr="004B205D">
              <w:rPr>
                <w:highlight w:val="yellow"/>
              </w:rPr>
              <w:t>(insert comment here)</w:t>
            </w:r>
          </w:p>
        </w:tc>
      </w:tr>
      <w:tr w:rsidR="00E93801" w14:paraId="71339BE1" w14:textId="77777777" w:rsidTr="00E50C58">
        <w:trPr>
          <w:cantSplit w:val="0"/>
        </w:trPr>
        <w:tc>
          <w:tcPr>
            <w:tcW w:w="1484" w:type="dxa"/>
          </w:tcPr>
          <w:p w14:paraId="6EF7FDA1" w14:textId="77777777" w:rsidR="00E93801" w:rsidRDefault="00E93801" w:rsidP="00E93801">
            <w:pPr>
              <w:rPr>
                <w:b/>
              </w:rPr>
            </w:pPr>
            <w:r>
              <w:rPr>
                <w:b/>
              </w:rPr>
              <w:t>Challenge:</w:t>
            </w:r>
          </w:p>
        </w:tc>
        <w:tc>
          <w:tcPr>
            <w:tcW w:w="7449" w:type="dxa"/>
            <w:gridSpan w:val="3"/>
          </w:tcPr>
          <w:p w14:paraId="3AC9F7C9" w14:textId="77777777" w:rsidR="00E93801" w:rsidRPr="004B205D" w:rsidRDefault="00E93801" w:rsidP="00E93801">
            <w:pPr>
              <w:rPr>
                <w:highlight w:val="yellow"/>
              </w:rPr>
            </w:pPr>
            <w:r w:rsidRPr="004B205D">
              <w:rPr>
                <w:highlight w:val="yellow"/>
              </w:rPr>
              <w:t>(insert comment here)</w:t>
            </w:r>
          </w:p>
        </w:tc>
      </w:tr>
    </w:tbl>
    <w:p w14:paraId="63EFF9FA" w14:textId="77777777" w:rsidR="001344D1" w:rsidRPr="005D36E7" w:rsidRDefault="001344D1" w:rsidP="00603635">
      <w:pPr>
        <w:rPr>
          <w:b/>
        </w:rPr>
      </w:pPr>
    </w:p>
    <w:tbl>
      <w:tblPr>
        <w:tblStyle w:val="DIATable"/>
        <w:tblW w:w="0" w:type="auto"/>
        <w:tblLook w:val="04A0" w:firstRow="1" w:lastRow="0" w:firstColumn="1" w:lastColumn="0" w:noHBand="0" w:noVBand="1"/>
      </w:tblPr>
      <w:tblGrid>
        <w:gridCol w:w="1484"/>
        <w:gridCol w:w="1654"/>
        <w:gridCol w:w="4394"/>
        <w:gridCol w:w="1401"/>
      </w:tblGrid>
      <w:tr w:rsidR="005D0005" w14:paraId="5FA91DC0" w14:textId="77777777" w:rsidTr="00612F66">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42A9B3" w:themeFill="accent1" w:themeFillShade="BF"/>
          </w:tcPr>
          <w:p w14:paraId="0855D3C0" w14:textId="77777777" w:rsidR="005D0005" w:rsidRDefault="005D0005" w:rsidP="00B519CB">
            <w:pPr>
              <w:rPr>
                <w:b w:val="0"/>
              </w:rPr>
            </w:pPr>
            <w:r>
              <w:t>Core Expectation 4</w:t>
            </w:r>
            <w:r w:rsidRPr="00D73E5B">
              <w:t xml:space="preserve">: </w:t>
            </w:r>
            <w:r w:rsidR="00F2178D" w:rsidRPr="00F2178D">
              <w:t>Establish a sense of collective accountability in which managers and staff understand their duty to ensure that personal information is collected and used appropriately.</w:t>
            </w:r>
          </w:p>
        </w:tc>
      </w:tr>
      <w:tr w:rsidR="00046510" w14:paraId="6CD6C2C9" w14:textId="77777777" w:rsidTr="00D2481E">
        <w:trPr>
          <w:cantSplit w:val="0"/>
        </w:trPr>
        <w:tc>
          <w:tcPr>
            <w:tcW w:w="1484" w:type="dxa"/>
            <w:vMerge w:val="restart"/>
          </w:tcPr>
          <w:p w14:paraId="75E74702" w14:textId="77777777" w:rsidR="00046510" w:rsidRDefault="00046510" w:rsidP="005D0005">
            <w:pPr>
              <w:rPr>
                <w:b/>
              </w:rPr>
            </w:pPr>
            <w:r>
              <w:rPr>
                <w:b/>
              </w:rPr>
              <w:t>CE4.1</w:t>
            </w:r>
          </w:p>
        </w:tc>
        <w:tc>
          <w:tcPr>
            <w:tcW w:w="1654" w:type="dxa"/>
            <w:vMerge w:val="restart"/>
          </w:tcPr>
          <w:p w14:paraId="449C0605" w14:textId="77777777" w:rsidR="00046510" w:rsidRDefault="00046510" w:rsidP="005D0005">
            <w:pPr>
              <w:rPr>
                <w:b/>
              </w:rPr>
            </w:pPr>
            <w:r w:rsidRPr="001344D1">
              <w:rPr>
                <w:b/>
              </w:rPr>
              <w:t>Implementing privacy practices</w:t>
            </w:r>
          </w:p>
        </w:tc>
        <w:tc>
          <w:tcPr>
            <w:tcW w:w="4394" w:type="dxa"/>
          </w:tcPr>
          <w:p w14:paraId="309FD60B" w14:textId="77777777" w:rsidR="00046510" w:rsidRPr="005D36E7" w:rsidRDefault="00046510" w:rsidP="005D0005">
            <w:pPr>
              <w:rPr>
                <w:b/>
              </w:rPr>
            </w:pPr>
            <w:r>
              <w:rPr>
                <w:b/>
              </w:rPr>
              <w:t xml:space="preserve">Informal: </w:t>
            </w:r>
            <w:r w:rsidR="00360B02" w:rsidRPr="00360B02">
              <w:t>Adoption of privacy policies and practices by functional areas that collect or make use of personal information (for example, procurement, service design, contracting and funding, analysis and research, and so on) is ad hoc, and tends to rely on the privacy officer or team involving themselves directly.</w:t>
            </w:r>
          </w:p>
        </w:tc>
        <w:tc>
          <w:tcPr>
            <w:tcW w:w="1401" w:type="dxa"/>
            <w:vMerge w:val="restart"/>
          </w:tcPr>
          <w:p w14:paraId="7EE330DE" w14:textId="77777777" w:rsidR="00046510" w:rsidRPr="00DE51C7" w:rsidRDefault="00046510" w:rsidP="005D0005">
            <w:pPr>
              <w:jc w:val="center"/>
            </w:pPr>
            <w:r w:rsidRPr="00DE51C7">
              <w:rPr>
                <w:highlight w:val="yellow"/>
              </w:rPr>
              <w:t>Type rating here</w:t>
            </w:r>
          </w:p>
        </w:tc>
      </w:tr>
      <w:tr w:rsidR="00046510" w14:paraId="37573EFF" w14:textId="77777777" w:rsidTr="00D2481E">
        <w:trPr>
          <w:cantSplit w:val="0"/>
        </w:trPr>
        <w:tc>
          <w:tcPr>
            <w:tcW w:w="1484" w:type="dxa"/>
            <w:vMerge/>
          </w:tcPr>
          <w:p w14:paraId="05FB88E4" w14:textId="77777777" w:rsidR="00046510" w:rsidRDefault="00046510" w:rsidP="005D0005">
            <w:pPr>
              <w:jc w:val="center"/>
              <w:rPr>
                <w:b/>
              </w:rPr>
            </w:pPr>
          </w:p>
        </w:tc>
        <w:tc>
          <w:tcPr>
            <w:tcW w:w="1654" w:type="dxa"/>
            <w:vMerge/>
          </w:tcPr>
          <w:p w14:paraId="1DBF4DA6" w14:textId="77777777" w:rsidR="00046510" w:rsidRDefault="00046510" w:rsidP="005D0005">
            <w:pPr>
              <w:rPr>
                <w:b/>
              </w:rPr>
            </w:pPr>
          </w:p>
        </w:tc>
        <w:tc>
          <w:tcPr>
            <w:tcW w:w="4394" w:type="dxa"/>
          </w:tcPr>
          <w:p w14:paraId="4F12A355" w14:textId="77777777" w:rsidR="00046510" w:rsidRDefault="00360B02" w:rsidP="005D0005">
            <w:pPr>
              <w:rPr>
                <w:b/>
              </w:rPr>
            </w:pPr>
            <w:r>
              <w:rPr>
                <w:b/>
              </w:rPr>
              <w:t>Foundational</w:t>
            </w:r>
            <w:r w:rsidR="00046510">
              <w:rPr>
                <w:b/>
              </w:rPr>
              <w:t xml:space="preserve">: </w:t>
            </w:r>
            <w:r w:rsidRPr="00360B02">
              <w:t>Some functional areas that collect or make use of personal information (for example, procurement, service design, contracting and funding, analysis and research, and so on) may reference, or integrate with, privacy policies and practices.</w:t>
            </w:r>
          </w:p>
        </w:tc>
        <w:tc>
          <w:tcPr>
            <w:tcW w:w="1401" w:type="dxa"/>
            <w:vMerge/>
          </w:tcPr>
          <w:p w14:paraId="1910DF67" w14:textId="77777777" w:rsidR="00046510" w:rsidRPr="00DE51C7" w:rsidRDefault="00046510" w:rsidP="005D0005"/>
        </w:tc>
      </w:tr>
      <w:tr w:rsidR="00046510" w14:paraId="3D55C3AB" w14:textId="77777777" w:rsidTr="00D2481E">
        <w:trPr>
          <w:cantSplit w:val="0"/>
        </w:trPr>
        <w:tc>
          <w:tcPr>
            <w:tcW w:w="1484" w:type="dxa"/>
            <w:vMerge/>
          </w:tcPr>
          <w:p w14:paraId="2918888A" w14:textId="77777777" w:rsidR="00046510" w:rsidRDefault="00046510" w:rsidP="005D0005">
            <w:pPr>
              <w:rPr>
                <w:b/>
              </w:rPr>
            </w:pPr>
          </w:p>
        </w:tc>
        <w:tc>
          <w:tcPr>
            <w:tcW w:w="1654" w:type="dxa"/>
            <w:vMerge/>
          </w:tcPr>
          <w:p w14:paraId="2D3AF00C" w14:textId="77777777" w:rsidR="00046510" w:rsidRDefault="00046510" w:rsidP="005D0005">
            <w:pPr>
              <w:rPr>
                <w:b/>
              </w:rPr>
            </w:pPr>
          </w:p>
        </w:tc>
        <w:tc>
          <w:tcPr>
            <w:tcW w:w="4394" w:type="dxa"/>
          </w:tcPr>
          <w:p w14:paraId="4917D500" w14:textId="77777777" w:rsidR="00046510" w:rsidRDefault="00046510" w:rsidP="005D0005">
            <w:pPr>
              <w:rPr>
                <w:b/>
              </w:rPr>
            </w:pPr>
            <w:r>
              <w:rPr>
                <w:b/>
              </w:rPr>
              <w:t xml:space="preserve">Managed: </w:t>
            </w:r>
            <w:r w:rsidR="00360B02" w:rsidRPr="00360B02">
              <w:t>Functional areas that collect or make use of people’s personal information (for example, procurement, service design, contracting and funding, analysis and research, and so on) include recognised good practice advice (for example, DPUP) in their core processes.</w:t>
            </w:r>
          </w:p>
        </w:tc>
        <w:tc>
          <w:tcPr>
            <w:tcW w:w="1401" w:type="dxa"/>
            <w:vMerge/>
          </w:tcPr>
          <w:p w14:paraId="32533645" w14:textId="77777777" w:rsidR="00046510" w:rsidRPr="00DE51C7" w:rsidRDefault="00046510" w:rsidP="005D0005"/>
        </w:tc>
      </w:tr>
      <w:tr w:rsidR="00046510" w14:paraId="4783ADD2" w14:textId="77777777" w:rsidTr="00D2481E">
        <w:trPr>
          <w:cantSplit w:val="0"/>
        </w:trPr>
        <w:tc>
          <w:tcPr>
            <w:tcW w:w="1484" w:type="dxa"/>
            <w:vMerge w:val="restart"/>
          </w:tcPr>
          <w:p w14:paraId="1E403F5B" w14:textId="77777777" w:rsidR="00046510" w:rsidRDefault="00046510" w:rsidP="005D0005">
            <w:pPr>
              <w:rPr>
                <w:b/>
              </w:rPr>
            </w:pPr>
            <w:r>
              <w:rPr>
                <w:b/>
              </w:rPr>
              <w:t>CE4.2</w:t>
            </w:r>
          </w:p>
        </w:tc>
        <w:tc>
          <w:tcPr>
            <w:tcW w:w="1654" w:type="dxa"/>
            <w:vMerge w:val="restart"/>
          </w:tcPr>
          <w:p w14:paraId="21CB3D6F" w14:textId="77777777" w:rsidR="00046510" w:rsidRDefault="00046510" w:rsidP="005D0005">
            <w:pPr>
              <w:rPr>
                <w:b/>
              </w:rPr>
            </w:pPr>
            <w:r w:rsidRPr="0087499B">
              <w:rPr>
                <w:b/>
              </w:rPr>
              <w:t xml:space="preserve">Linking privacy to </w:t>
            </w:r>
            <w:r w:rsidRPr="003A3E6E">
              <w:rPr>
                <w:b/>
              </w:rPr>
              <w:t xml:space="preserve">organisational </w:t>
            </w:r>
            <w:r w:rsidRPr="0087499B">
              <w:rPr>
                <w:b/>
              </w:rPr>
              <w:t>values</w:t>
            </w:r>
          </w:p>
        </w:tc>
        <w:tc>
          <w:tcPr>
            <w:tcW w:w="4394" w:type="dxa"/>
          </w:tcPr>
          <w:p w14:paraId="0D0087B8" w14:textId="77777777" w:rsidR="00046510" w:rsidRDefault="00046510" w:rsidP="005D0005">
            <w:pPr>
              <w:rPr>
                <w:b/>
              </w:rPr>
            </w:pPr>
            <w:r>
              <w:rPr>
                <w:b/>
              </w:rPr>
              <w:t xml:space="preserve">Informal: </w:t>
            </w:r>
            <w:r w:rsidR="00360B02" w:rsidRPr="00360B02">
              <w:t>There is no link between organisational value frameworks, such as mission statements, and the importance of public trust in the collection and use of personal information.</w:t>
            </w:r>
          </w:p>
        </w:tc>
        <w:tc>
          <w:tcPr>
            <w:tcW w:w="1401" w:type="dxa"/>
            <w:vMerge w:val="restart"/>
          </w:tcPr>
          <w:p w14:paraId="686360C1" w14:textId="77777777" w:rsidR="00046510" w:rsidRPr="00DE51C7" w:rsidRDefault="00046510" w:rsidP="005D0005">
            <w:pPr>
              <w:jc w:val="center"/>
            </w:pPr>
            <w:r w:rsidRPr="00DE51C7">
              <w:rPr>
                <w:highlight w:val="yellow"/>
              </w:rPr>
              <w:t>Type rating here</w:t>
            </w:r>
          </w:p>
        </w:tc>
      </w:tr>
      <w:tr w:rsidR="00046510" w14:paraId="31E818F2" w14:textId="77777777" w:rsidTr="00D2481E">
        <w:trPr>
          <w:cantSplit w:val="0"/>
        </w:trPr>
        <w:tc>
          <w:tcPr>
            <w:tcW w:w="1484" w:type="dxa"/>
            <w:vMerge/>
          </w:tcPr>
          <w:p w14:paraId="21B025BC" w14:textId="77777777" w:rsidR="00046510" w:rsidRDefault="00046510" w:rsidP="005D0005">
            <w:pPr>
              <w:jc w:val="center"/>
              <w:rPr>
                <w:b/>
              </w:rPr>
            </w:pPr>
          </w:p>
        </w:tc>
        <w:tc>
          <w:tcPr>
            <w:tcW w:w="1654" w:type="dxa"/>
            <w:vMerge/>
          </w:tcPr>
          <w:p w14:paraId="7DA46BF8" w14:textId="77777777" w:rsidR="00046510" w:rsidRDefault="00046510" w:rsidP="005D0005">
            <w:pPr>
              <w:rPr>
                <w:b/>
              </w:rPr>
            </w:pPr>
          </w:p>
        </w:tc>
        <w:tc>
          <w:tcPr>
            <w:tcW w:w="4394" w:type="dxa"/>
          </w:tcPr>
          <w:p w14:paraId="27CEFEA8" w14:textId="77777777" w:rsidR="00046510" w:rsidRDefault="00360B02" w:rsidP="005D0005">
            <w:pPr>
              <w:rPr>
                <w:b/>
              </w:rPr>
            </w:pPr>
            <w:r>
              <w:rPr>
                <w:b/>
              </w:rPr>
              <w:t>Foundational</w:t>
            </w:r>
            <w:r w:rsidR="00046510">
              <w:rPr>
                <w:b/>
              </w:rPr>
              <w:t xml:space="preserve">: </w:t>
            </w:r>
            <w:r w:rsidRPr="00360B02">
              <w:t>Organisational value frameworks, such as mission statements, include a focus on public trust, but the connection with respectful and transparent practice in the collection and use of personal information is not clear.</w:t>
            </w:r>
          </w:p>
        </w:tc>
        <w:tc>
          <w:tcPr>
            <w:tcW w:w="1401" w:type="dxa"/>
            <w:vMerge/>
          </w:tcPr>
          <w:p w14:paraId="4B0C4CB8" w14:textId="77777777" w:rsidR="00046510" w:rsidRPr="00DE51C7" w:rsidRDefault="00046510" w:rsidP="005D0005"/>
        </w:tc>
      </w:tr>
      <w:tr w:rsidR="00046510" w14:paraId="2C2D39B7" w14:textId="77777777" w:rsidTr="00D2481E">
        <w:trPr>
          <w:cantSplit w:val="0"/>
        </w:trPr>
        <w:tc>
          <w:tcPr>
            <w:tcW w:w="1484" w:type="dxa"/>
            <w:vMerge/>
          </w:tcPr>
          <w:p w14:paraId="3011B72F" w14:textId="77777777" w:rsidR="00046510" w:rsidRDefault="00046510" w:rsidP="005D0005">
            <w:pPr>
              <w:rPr>
                <w:b/>
              </w:rPr>
            </w:pPr>
          </w:p>
        </w:tc>
        <w:tc>
          <w:tcPr>
            <w:tcW w:w="1654" w:type="dxa"/>
            <w:vMerge/>
          </w:tcPr>
          <w:p w14:paraId="32AD538D" w14:textId="77777777" w:rsidR="00046510" w:rsidRDefault="00046510" w:rsidP="005D0005">
            <w:pPr>
              <w:rPr>
                <w:b/>
              </w:rPr>
            </w:pPr>
          </w:p>
        </w:tc>
        <w:tc>
          <w:tcPr>
            <w:tcW w:w="4394" w:type="dxa"/>
          </w:tcPr>
          <w:p w14:paraId="3E6B1B05" w14:textId="77777777" w:rsidR="00046510" w:rsidRDefault="00046510" w:rsidP="005D0005">
            <w:pPr>
              <w:rPr>
                <w:b/>
              </w:rPr>
            </w:pPr>
            <w:r>
              <w:rPr>
                <w:b/>
              </w:rPr>
              <w:t xml:space="preserve">Managed: </w:t>
            </w:r>
            <w:r w:rsidR="00360B02" w:rsidRPr="00360B02">
              <w:t>Organisational value frameworks, such as mission statements, draw a direct line between delivering quality service and exercising a collective focus on respectful and transparent practices in the collection and use of personal information.</w:t>
            </w:r>
          </w:p>
        </w:tc>
        <w:tc>
          <w:tcPr>
            <w:tcW w:w="1401" w:type="dxa"/>
            <w:vMerge/>
          </w:tcPr>
          <w:p w14:paraId="2DF85DA4" w14:textId="77777777" w:rsidR="00046510" w:rsidRPr="00DE51C7" w:rsidRDefault="00046510" w:rsidP="005D0005"/>
        </w:tc>
      </w:tr>
      <w:tr w:rsidR="00046510" w14:paraId="107B6A06" w14:textId="77777777" w:rsidTr="00D2481E">
        <w:trPr>
          <w:cantSplit w:val="0"/>
        </w:trPr>
        <w:tc>
          <w:tcPr>
            <w:tcW w:w="1484" w:type="dxa"/>
            <w:vMerge w:val="restart"/>
          </w:tcPr>
          <w:p w14:paraId="5E0BF2DA" w14:textId="77777777" w:rsidR="00046510" w:rsidRDefault="00046510" w:rsidP="005D0005">
            <w:pPr>
              <w:rPr>
                <w:b/>
              </w:rPr>
            </w:pPr>
            <w:r>
              <w:rPr>
                <w:b/>
              </w:rPr>
              <w:t>CE4.3</w:t>
            </w:r>
          </w:p>
        </w:tc>
        <w:tc>
          <w:tcPr>
            <w:tcW w:w="1654" w:type="dxa"/>
            <w:vMerge w:val="restart"/>
          </w:tcPr>
          <w:p w14:paraId="0B707914" w14:textId="77777777" w:rsidR="00046510" w:rsidRDefault="00046510" w:rsidP="005D0005">
            <w:pPr>
              <w:rPr>
                <w:b/>
              </w:rPr>
            </w:pPr>
            <w:r w:rsidRPr="00A10695">
              <w:rPr>
                <w:b/>
              </w:rPr>
              <w:t>Including privacy in employment</w:t>
            </w:r>
          </w:p>
        </w:tc>
        <w:tc>
          <w:tcPr>
            <w:tcW w:w="4394" w:type="dxa"/>
          </w:tcPr>
          <w:p w14:paraId="74E1AC9C" w14:textId="77777777" w:rsidR="00046510" w:rsidRPr="005D36E7" w:rsidRDefault="00046510" w:rsidP="005D0005">
            <w:pPr>
              <w:rPr>
                <w:b/>
              </w:rPr>
            </w:pPr>
            <w:r>
              <w:rPr>
                <w:b/>
              </w:rPr>
              <w:t>Informal:</w:t>
            </w:r>
            <w:r>
              <w:t xml:space="preserve"> </w:t>
            </w:r>
            <w:r w:rsidR="00360B02" w:rsidRPr="00360B02">
              <w:t>There is no clear link made between privacy capability and its role in developing and retaining public trust (for example, letters of employment and job descriptions do not refer to privacy obligations and responsibilities).</w:t>
            </w:r>
          </w:p>
        </w:tc>
        <w:tc>
          <w:tcPr>
            <w:tcW w:w="1401" w:type="dxa"/>
            <w:vMerge w:val="restart"/>
          </w:tcPr>
          <w:p w14:paraId="10A7CD4B" w14:textId="77777777" w:rsidR="00046510" w:rsidRPr="00DE51C7" w:rsidRDefault="00046510" w:rsidP="005D0005">
            <w:pPr>
              <w:jc w:val="center"/>
            </w:pPr>
            <w:r w:rsidRPr="00DE51C7">
              <w:rPr>
                <w:highlight w:val="yellow"/>
              </w:rPr>
              <w:t>Type rating here</w:t>
            </w:r>
          </w:p>
        </w:tc>
      </w:tr>
      <w:tr w:rsidR="00046510" w14:paraId="3797BCFA" w14:textId="77777777" w:rsidTr="00D2481E">
        <w:trPr>
          <w:cantSplit w:val="0"/>
        </w:trPr>
        <w:tc>
          <w:tcPr>
            <w:tcW w:w="1484" w:type="dxa"/>
            <w:vMerge/>
          </w:tcPr>
          <w:p w14:paraId="699F2F5C" w14:textId="77777777" w:rsidR="00046510" w:rsidRDefault="00046510" w:rsidP="005D0005">
            <w:pPr>
              <w:jc w:val="center"/>
              <w:rPr>
                <w:b/>
              </w:rPr>
            </w:pPr>
          </w:p>
        </w:tc>
        <w:tc>
          <w:tcPr>
            <w:tcW w:w="1654" w:type="dxa"/>
            <w:vMerge/>
          </w:tcPr>
          <w:p w14:paraId="1AE8CBB1" w14:textId="77777777" w:rsidR="00046510" w:rsidRDefault="00046510" w:rsidP="005D0005">
            <w:pPr>
              <w:rPr>
                <w:b/>
              </w:rPr>
            </w:pPr>
          </w:p>
        </w:tc>
        <w:tc>
          <w:tcPr>
            <w:tcW w:w="4394" w:type="dxa"/>
          </w:tcPr>
          <w:p w14:paraId="6FDB1506" w14:textId="77777777" w:rsidR="00046510" w:rsidRPr="005D36E7" w:rsidRDefault="00360B02" w:rsidP="005D0005">
            <w:pPr>
              <w:rPr>
                <w:b/>
              </w:rPr>
            </w:pPr>
            <w:r>
              <w:rPr>
                <w:b/>
              </w:rPr>
              <w:t>Foundational</w:t>
            </w:r>
            <w:r w:rsidR="00046510">
              <w:rPr>
                <w:b/>
              </w:rPr>
              <w:t xml:space="preserve">: </w:t>
            </w:r>
            <w:r w:rsidRPr="00360B02">
              <w:t>There may be a link made between privacy capability and its role in developing and retaining public trust (for example, some letters of employment and job descriptions refer to privacy obligations and responsibilities).</w:t>
            </w:r>
          </w:p>
        </w:tc>
        <w:tc>
          <w:tcPr>
            <w:tcW w:w="1401" w:type="dxa"/>
            <w:vMerge/>
          </w:tcPr>
          <w:p w14:paraId="42C26B36" w14:textId="77777777" w:rsidR="00046510" w:rsidRDefault="00046510" w:rsidP="005D0005">
            <w:pPr>
              <w:rPr>
                <w:b/>
              </w:rPr>
            </w:pPr>
          </w:p>
        </w:tc>
      </w:tr>
      <w:tr w:rsidR="00046510" w14:paraId="2EA7E9B9" w14:textId="77777777" w:rsidTr="00D2481E">
        <w:trPr>
          <w:cantSplit w:val="0"/>
        </w:trPr>
        <w:tc>
          <w:tcPr>
            <w:tcW w:w="1484" w:type="dxa"/>
            <w:vMerge/>
          </w:tcPr>
          <w:p w14:paraId="53398BCD" w14:textId="77777777" w:rsidR="00046510" w:rsidRDefault="00046510" w:rsidP="005D0005">
            <w:pPr>
              <w:rPr>
                <w:b/>
              </w:rPr>
            </w:pPr>
          </w:p>
        </w:tc>
        <w:tc>
          <w:tcPr>
            <w:tcW w:w="1654" w:type="dxa"/>
            <w:vMerge/>
          </w:tcPr>
          <w:p w14:paraId="61B50E2A" w14:textId="77777777" w:rsidR="00046510" w:rsidRDefault="00046510" w:rsidP="005D0005">
            <w:pPr>
              <w:rPr>
                <w:b/>
              </w:rPr>
            </w:pPr>
          </w:p>
        </w:tc>
        <w:tc>
          <w:tcPr>
            <w:tcW w:w="4394" w:type="dxa"/>
          </w:tcPr>
          <w:p w14:paraId="79ED412A" w14:textId="77777777" w:rsidR="00046510" w:rsidRDefault="00046510" w:rsidP="005D0005">
            <w:pPr>
              <w:rPr>
                <w:b/>
              </w:rPr>
            </w:pPr>
            <w:r>
              <w:rPr>
                <w:b/>
              </w:rPr>
              <w:t xml:space="preserve">Managed: </w:t>
            </w:r>
            <w:r w:rsidR="00360B02" w:rsidRPr="00360B02">
              <w:t>There is an agency-wide approach to making the link between privacy capability and its role in developing and retaining public trust (for example, letters of employment and job descriptions refer to privacy obligations and responsibilities).</w:t>
            </w:r>
          </w:p>
        </w:tc>
        <w:tc>
          <w:tcPr>
            <w:tcW w:w="1401" w:type="dxa"/>
            <w:vMerge/>
          </w:tcPr>
          <w:p w14:paraId="1DE9D548" w14:textId="77777777" w:rsidR="00046510" w:rsidRDefault="00046510" w:rsidP="005D0005">
            <w:pPr>
              <w:rPr>
                <w:b/>
              </w:rPr>
            </w:pPr>
          </w:p>
        </w:tc>
      </w:tr>
      <w:tr w:rsidR="00E93801" w14:paraId="650782D9" w14:textId="77777777" w:rsidTr="00E50C58">
        <w:trPr>
          <w:cantSplit w:val="0"/>
        </w:trPr>
        <w:tc>
          <w:tcPr>
            <w:tcW w:w="1484" w:type="dxa"/>
          </w:tcPr>
          <w:p w14:paraId="7ABE2B61" w14:textId="77777777" w:rsidR="00E93801" w:rsidRDefault="00E93801" w:rsidP="00E93801">
            <w:pPr>
              <w:rPr>
                <w:b/>
              </w:rPr>
            </w:pPr>
            <w:r>
              <w:rPr>
                <w:b/>
              </w:rPr>
              <w:t>Context</w:t>
            </w:r>
            <w:r w:rsidRPr="00E93801">
              <w:rPr>
                <w:b/>
              </w:rPr>
              <w:t>:</w:t>
            </w:r>
          </w:p>
        </w:tc>
        <w:tc>
          <w:tcPr>
            <w:tcW w:w="7449" w:type="dxa"/>
            <w:gridSpan w:val="3"/>
          </w:tcPr>
          <w:p w14:paraId="6C932BE3" w14:textId="77777777" w:rsidR="00E93801" w:rsidRPr="00D73E5B" w:rsidRDefault="00E93801" w:rsidP="00E93801">
            <w:r w:rsidRPr="004B205D">
              <w:rPr>
                <w:highlight w:val="yellow"/>
              </w:rPr>
              <w:t>(insert comment here)</w:t>
            </w:r>
          </w:p>
        </w:tc>
      </w:tr>
      <w:tr w:rsidR="00E93801" w14:paraId="7AD73704" w14:textId="77777777" w:rsidTr="00E50C58">
        <w:trPr>
          <w:cantSplit w:val="0"/>
        </w:trPr>
        <w:tc>
          <w:tcPr>
            <w:tcW w:w="1484" w:type="dxa"/>
          </w:tcPr>
          <w:p w14:paraId="6C33A183" w14:textId="77777777" w:rsidR="00E93801" w:rsidRDefault="00E93801" w:rsidP="00E93801">
            <w:pPr>
              <w:rPr>
                <w:b/>
              </w:rPr>
            </w:pPr>
            <w:r>
              <w:rPr>
                <w:b/>
              </w:rPr>
              <w:t>Achievement:</w:t>
            </w:r>
          </w:p>
        </w:tc>
        <w:tc>
          <w:tcPr>
            <w:tcW w:w="7449" w:type="dxa"/>
            <w:gridSpan w:val="3"/>
          </w:tcPr>
          <w:p w14:paraId="13C800E6" w14:textId="77777777" w:rsidR="00E93801" w:rsidRPr="004B205D" w:rsidRDefault="00E93801" w:rsidP="00E93801">
            <w:pPr>
              <w:rPr>
                <w:highlight w:val="yellow"/>
              </w:rPr>
            </w:pPr>
            <w:r w:rsidRPr="004B205D">
              <w:rPr>
                <w:highlight w:val="yellow"/>
              </w:rPr>
              <w:t>(insert comment here)</w:t>
            </w:r>
          </w:p>
        </w:tc>
      </w:tr>
      <w:tr w:rsidR="00E93801" w14:paraId="3D4F32F1" w14:textId="77777777" w:rsidTr="00E50C58">
        <w:trPr>
          <w:cantSplit w:val="0"/>
        </w:trPr>
        <w:tc>
          <w:tcPr>
            <w:tcW w:w="1484" w:type="dxa"/>
          </w:tcPr>
          <w:p w14:paraId="2D668EE3" w14:textId="77777777" w:rsidR="00E93801" w:rsidRDefault="00E93801" w:rsidP="00E93801">
            <w:pPr>
              <w:rPr>
                <w:b/>
              </w:rPr>
            </w:pPr>
            <w:r>
              <w:rPr>
                <w:b/>
              </w:rPr>
              <w:t>Future focus:</w:t>
            </w:r>
          </w:p>
        </w:tc>
        <w:tc>
          <w:tcPr>
            <w:tcW w:w="7449" w:type="dxa"/>
            <w:gridSpan w:val="3"/>
          </w:tcPr>
          <w:p w14:paraId="52846CCF" w14:textId="77777777" w:rsidR="00E93801" w:rsidRPr="004B205D" w:rsidRDefault="00E93801" w:rsidP="00E93801">
            <w:pPr>
              <w:rPr>
                <w:highlight w:val="yellow"/>
              </w:rPr>
            </w:pPr>
            <w:r w:rsidRPr="004B205D">
              <w:rPr>
                <w:highlight w:val="yellow"/>
              </w:rPr>
              <w:t>(insert comment here)</w:t>
            </w:r>
          </w:p>
        </w:tc>
      </w:tr>
      <w:tr w:rsidR="00E93801" w14:paraId="332E837B" w14:textId="77777777" w:rsidTr="00E50C58">
        <w:trPr>
          <w:cantSplit w:val="0"/>
        </w:trPr>
        <w:tc>
          <w:tcPr>
            <w:tcW w:w="1484" w:type="dxa"/>
          </w:tcPr>
          <w:p w14:paraId="2262170D" w14:textId="77777777" w:rsidR="00E93801" w:rsidRDefault="00E93801" w:rsidP="00E93801">
            <w:pPr>
              <w:rPr>
                <w:b/>
              </w:rPr>
            </w:pPr>
            <w:r>
              <w:rPr>
                <w:b/>
              </w:rPr>
              <w:t>Challenge:</w:t>
            </w:r>
          </w:p>
        </w:tc>
        <w:tc>
          <w:tcPr>
            <w:tcW w:w="7449" w:type="dxa"/>
            <w:gridSpan w:val="3"/>
          </w:tcPr>
          <w:p w14:paraId="281B1CD9" w14:textId="77777777" w:rsidR="00E93801" w:rsidRPr="004B205D" w:rsidRDefault="00E93801" w:rsidP="00E93801">
            <w:pPr>
              <w:rPr>
                <w:highlight w:val="yellow"/>
              </w:rPr>
            </w:pPr>
            <w:r w:rsidRPr="004B205D">
              <w:rPr>
                <w:highlight w:val="yellow"/>
              </w:rPr>
              <w:t>(insert comment here)</w:t>
            </w:r>
          </w:p>
        </w:tc>
      </w:tr>
    </w:tbl>
    <w:p w14:paraId="1A76C693" w14:textId="77777777" w:rsidR="005D0005" w:rsidRDefault="005D0005" w:rsidP="00603635">
      <w:pPr>
        <w:rPr>
          <w:b/>
        </w:rPr>
      </w:pPr>
    </w:p>
    <w:tbl>
      <w:tblPr>
        <w:tblStyle w:val="DIATable"/>
        <w:tblW w:w="8933" w:type="dxa"/>
        <w:tblLook w:val="04A0" w:firstRow="1" w:lastRow="0" w:firstColumn="1" w:lastColumn="0" w:noHBand="0" w:noVBand="1"/>
      </w:tblPr>
      <w:tblGrid>
        <w:gridCol w:w="1484"/>
        <w:gridCol w:w="1654"/>
        <w:gridCol w:w="4394"/>
        <w:gridCol w:w="1401"/>
      </w:tblGrid>
      <w:tr w:rsidR="005D0005" w14:paraId="51923D7E" w14:textId="77777777" w:rsidTr="00612F66">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42A9B3" w:themeFill="accent1" w:themeFillShade="BF"/>
          </w:tcPr>
          <w:p w14:paraId="59ACB46A" w14:textId="77777777" w:rsidR="005D0005" w:rsidRDefault="005D0005" w:rsidP="00B519CB">
            <w:pPr>
              <w:rPr>
                <w:b w:val="0"/>
              </w:rPr>
            </w:pPr>
            <w:r>
              <w:lastRenderedPageBreak/>
              <w:t>Core Expectation 5</w:t>
            </w:r>
            <w:r w:rsidRPr="00D73E5B">
              <w:t xml:space="preserve">: </w:t>
            </w:r>
            <w:r w:rsidR="00F2178D" w:rsidRPr="00F2178D">
              <w:t>Be a capable Treaty partner by supporting the Crown to fulfil its stewardship responsibility and strengthen Crown’s relationships with Māori.</w:t>
            </w:r>
          </w:p>
        </w:tc>
      </w:tr>
      <w:tr w:rsidR="00046510" w14:paraId="26D3C1F0" w14:textId="77777777" w:rsidTr="00D2481E">
        <w:trPr>
          <w:cantSplit w:val="0"/>
        </w:trPr>
        <w:tc>
          <w:tcPr>
            <w:tcW w:w="1484" w:type="dxa"/>
            <w:vMerge w:val="restart"/>
          </w:tcPr>
          <w:p w14:paraId="724DF5B2" w14:textId="77777777" w:rsidR="00046510" w:rsidRDefault="00046510" w:rsidP="00B519CB">
            <w:pPr>
              <w:rPr>
                <w:b/>
              </w:rPr>
            </w:pPr>
            <w:r>
              <w:rPr>
                <w:b/>
              </w:rPr>
              <w:t>CE5.1</w:t>
            </w:r>
          </w:p>
        </w:tc>
        <w:tc>
          <w:tcPr>
            <w:tcW w:w="1654" w:type="dxa"/>
            <w:vMerge w:val="restart"/>
          </w:tcPr>
          <w:p w14:paraId="33D78F39" w14:textId="77777777" w:rsidR="00046510" w:rsidRDefault="00046510" w:rsidP="00B519CB">
            <w:pPr>
              <w:rPr>
                <w:b/>
              </w:rPr>
            </w:pPr>
            <w:r w:rsidRPr="00A10695">
              <w:rPr>
                <w:b/>
              </w:rPr>
              <w:t>Identifying Māori privacy interests</w:t>
            </w:r>
          </w:p>
        </w:tc>
        <w:tc>
          <w:tcPr>
            <w:tcW w:w="4394" w:type="dxa"/>
          </w:tcPr>
          <w:p w14:paraId="6F9E445D" w14:textId="77777777" w:rsidR="00046510" w:rsidRPr="005D36E7" w:rsidRDefault="00046510" w:rsidP="00B519CB">
            <w:pPr>
              <w:rPr>
                <w:b/>
              </w:rPr>
            </w:pPr>
            <w:r>
              <w:rPr>
                <w:b/>
              </w:rPr>
              <w:t xml:space="preserve">Informal: </w:t>
            </w:r>
            <w:r w:rsidR="00360B02" w:rsidRPr="00360B02">
              <w:t>There is little awareness of the need to identify Māori interests when designing or updating a service or process that involves the collection, use or sharing of personal information.</w:t>
            </w:r>
          </w:p>
        </w:tc>
        <w:tc>
          <w:tcPr>
            <w:tcW w:w="1401" w:type="dxa"/>
            <w:vMerge w:val="restart"/>
          </w:tcPr>
          <w:p w14:paraId="25B188A4" w14:textId="2A89739C" w:rsidR="00046510" w:rsidRPr="00DE51C7" w:rsidRDefault="00DE51C7" w:rsidP="00B519CB">
            <w:pPr>
              <w:jc w:val="center"/>
            </w:pPr>
            <w:r w:rsidRPr="00DE51C7">
              <w:rPr>
                <w:highlight w:val="yellow"/>
              </w:rPr>
              <w:t>Type rating here</w:t>
            </w:r>
          </w:p>
        </w:tc>
      </w:tr>
      <w:tr w:rsidR="00046510" w14:paraId="12112964" w14:textId="77777777" w:rsidTr="00D2481E">
        <w:trPr>
          <w:cantSplit w:val="0"/>
        </w:trPr>
        <w:tc>
          <w:tcPr>
            <w:tcW w:w="1484" w:type="dxa"/>
            <w:vMerge/>
          </w:tcPr>
          <w:p w14:paraId="24C3DD2B" w14:textId="77777777" w:rsidR="00046510" w:rsidRDefault="00046510" w:rsidP="003A3E6E">
            <w:pPr>
              <w:jc w:val="center"/>
              <w:rPr>
                <w:b/>
              </w:rPr>
            </w:pPr>
          </w:p>
        </w:tc>
        <w:tc>
          <w:tcPr>
            <w:tcW w:w="1654" w:type="dxa"/>
            <w:vMerge/>
          </w:tcPr>
          <w:p w14:paraId="09089151" w14:textId="77777777" w:rsidR="00046510" w:rsidRDefault="00046510" w:rsidP="003A3E6E">
            <w:pPr>
              <w:rPr>
                <w:b/>
              </w:rPr>
            </w:pPr>
          </w:p>
        </w:tc>
        <w:tc>
          <w:tcPr>
            <w:tcW w:w="4394" w:type="dxa"/>
          </w:tcPr>
          <w:p w14:paraId="28BB89F9" w14:textId="77777777" w:rsidR="00046510" w:rsidRDefault="00360B02" w:rsidP="003A3E6E">
            <w:pPr>
              <w:rPr>
                <w:b/>
              </w:rPr>
            </w:pPr>
            <w:r>
              <w:rPr>
                <w:b/>
              </w:rPr>
              <w:t>Foundational</w:t>
            </w:r>
            <w:r w:rsidR="00046510">
              <w:rPr>
                <w:b/>
              </w:rPr>
              <w:t xml:space="preserve">: </w:t>
            </w:r>
            <w:r w:rsidRPr="00360B02">
              <w:t>When designing or updating a service or process that involves the collection, use or sharing of personal information, individual initiatives develop their own practices to identify Māori interests.</w:t>
            </w:r>
          </w:p>
        </w:tc>
        <w:tc>
          <w:tcPr>
            <w:tcW w:w="1401" w:type="dxa"/>
            <w:vMerge/>
          </w:tcPr>
          <w:p w14:paraId="3DA8DC1D" w14:textId="77777777" w:rsidR="00046510" w:rsidRPr="00DE51C7" w:rsidRDefault="00046510" w:rsidP="003A3E6E"/>
        </w:tc>
      </w:tr>
      <w:tr w:rsidR="00046510" w14:paraId="417BFF47" w14:textId="77777777" w:rsidTr="00D2481E">
        <w:trPr>
          <w:cantSplit w:val="0"/>
        </w:trPr>
        <w:tc>
          <w:tcPr>
            <w:tcW w:w="1484" w:type="dxa"/>
            <w:vMerge/>
          </w:tcPr>
          <w:p w14:paraId="376DA789" w14:textId="77777777" w:rsidR="00046510" w:rsidRDefault="00046510" w:rsidP="003A3E6E">
            <w:pPr>
              <w:rPr>
                <w:b/>
              </w:rPr>
            </w:pPr>
          </w:p>
        </w:tc>
        <w:tc>
          <w:tcPr>
            <w:tcW w:w="1654" w:type="dxa"/>
            <w:vMerge/>
          </w:tcPr>
          <w:p w14:paraId="04C1142E" w14:textId="77777777" w:rsidR="00046510" w:rsidRDefault="00046510" w:rsidP="003A3E6E">
            <w:pPr>
              <w:rPr>
                <w:b/>
              </w:rPr>
            </w:pPr>
          </w:p>
        </w:tc>
        <w:tc>
          <w:tcPr>
            <w:tcW w:w="4394" w:type="dxa"/>
          </w:tcPr>
          <w:p w14:paraId="7E2FE147" w14:textId="77777777" w:rsidR="00046510" w:rsidRDefault="00046510" w:rsidP="003A3E6E">
            <w:pPr>
              <w:rPr>
                <w:b/>
              </w:rPr>
            </w:pPr>
            <w:r>
              <w:rPr>
                <w:b/>
              </w:rPr>
              <w:t xml:space="preserve">Managed: </w:t>
            </w:r>
            <w:r w:rsidR="00360B02" w:rsidRPr="00360B02">
              <w:t>When designing or updating a service or process that involves the collection, use or sharing of personal information, the agency has policies and practices that can identify relevant Māori interests.</w:t>
            </w:r>
          </w:p>
        </w:tc>
        <w:tc>
          <w:tcPr>
            <w:tcW w:w="1401" w:type="dxa"/>
            <w:vMerge/>
          </w:tcPr>
          <w:p w14:paraId="0DE26652" w14:textId="77777777" w:rsidR="00046510" w:rsidRPr="00DE51C7" w:rsidRDefault="00046510" w:rsidP="003A3E6E"/>
        </w:tc>
      </w:tr>
      <w:tr w:rsidR="00046510" w14:paraId="41C68201" w14:textId="77777777" w:rsidTr="00D2481E">
        <w:trPr>
          <w:cantSplit w:val="0"/>
        </w:trPr>
        <w:tc>
          <w:tcPr>
            <w:tcW w:w="1484" w:type="dxa"/>
            <w:vMerge w:val="restart"/>
          </w:tcPr>
          <w:p w14:paraId="4CFD1611" w14:textId="77777777" w:rsidR="00046510" w:rsidRDefault="00046510" w:rsidP="005D0005">
            <w:pPr>
              <w:rPr>
                <w:b/>
              </w:rPr>
            </w:pPr>
            <w:r>
              <w:rPr>
                <w:b/>
              </w:rPr>
              <w:t>CE5.2</w:t>
            </w:r>
          </w:p>
        </w:tc>
        <w:tc>
          <w:tcPr>
            <w:tcW w:w="1654" w:type="dxa"/>
            <w:vMerge w:val="restart"/>
          </w:tcPr>
          <w:p w14:paraId="24446AC3" w14:textId="77777777" w:rsidR="00046510" w:rsidRDefault="00046510" w:rsidP="005D0005">
            <w:pPr>
              <w:rPr>
                <w:b/>
              </w:rPr>
            </w:pPr>
            <w:r w:rsidRPr="00A10695">
              <w:rPr>
                <w:b/>
              </w:rPr>
              <w:t>Partnering with Māori</w:t>
            </w:r>
          </w:p>
        </w:tc>
        <w:tc>
          <w:tcPr>
            <w:tcW w:w="4394" w:type="dxa"/>
          </w:tcPr>
          <w:p w14:paraId="6FC0737C" w14:textId="77777777" w:rsidR="00046510" w:rsidRDefault="00046510" w:rsidP="005D0005">
            <w:pPr>
              <w:rPr>
                <w:b/>
              </w:rPr>
            </w:pPr>
            <w:r>
              <w:rPr>
                <w:b/>
              </w:rPr>
              <w:t xml:space="preserve">Informal: </w:t>
            </w:r>
            <w:r w:rsidR="00360B02" w:rsidRPr="00360B02">
              <w:t>The agency’s identification of and response to Māori privacy interests is ad hoc or reactive.</w:t>
            </w:r>
          </w:p>
        </w:tc>
        <w:tc>
          <w:tcPr>
            <w:tcW w:w="1401" w:type="dxa"/>
            <w:vMerge w:val="restart"/>
          </w:tcPr>
          <w:p w14:paraId="4A3ACD18" w14:textId="0FC10400" w:rsidR="00B50116" w:rsidRPr="00DE51C7" w:rsidRDefault="00DE51C7" w:rsidP="005D0005">
            <w:pPr>
              <w:jc w:val="center"/>
            </w:pPr>
            <w:r w:rsidRPr="00DE51C7">
              <w:rPr>
                <w:highlight w:val="yellow"/>
              </w:rPr>
              <w:t>Type rating here</w:t>
            </w:r>
          </w:p>
          <w:p w14:paraId="451B422D" w14:textId="2742D3C8" w:rsidR="00B50116" w:rsidRPr="00DE51C7" w:rsidRDefault="00B50116" w:rsidP="005D0005">
            <w:pPr>
              <w:jc w:val="center"/>
            </w:pPr>
          </w:p>
        </w:tc>
      </w:tr>
      <w:tr w:rsidR="00046510" w14:paraId="7A2A818A" w14:textId="77777777" w:rsidTr="00D2481E">
        <w:trPr>
          <w:cantSplit w:val="0"/>
        </w:trPr>
        <w:tc>
          <w:tcPr>
            <w:tcW w:w="1484" w:type="dxa"/>
            <w:vMerge/>
          </w:tcPr>
          <w:p w14:paraId="7776290A" w14:textId="77777777" w:rsidR="00046510" w:rsidRDefault="00046510" w:rsidP="005D0005">
            <w:pPr>
              <w:jc w:val="center"/>
              <w:rPr>
                <w:b/>
              </w:rPr>
            </w:pPr>
          </w:p>
        </w:tc>
        <w:tc>
          <w:tcPr>
            <w:tcW w:w="1654" w:type="dxa"/>
            <w:vMerge/>
          </w:tcPr>
          <w:p w14:paraId="0B116C2F" w14:textId="77777777" w:rsidR="00046510" w:rsidRDefault="00046510" w:rsidP="005D0005">
            <w:pPr>
              <w:rPr>
                <w:b/>
              </w:rPr>
            </w:pPr>
          </w:p>
        </w:tc>
        <w:tc>
          <w:tcPr>
            <w:tcW w:w="4394" w:type="dxa"/>
          </w:tcPr>
          <w:p w14:paraId="366FEAD1" w14:textId="77777777" w:rsidR="00046510" w:rsidRDefault="00360B02" w:rsidP="005D0005">
            <w:pPr>
              <w:rPr>
                <w:b/>
              </w:rPr>
            </w:pPr>
            <w:r>
              <w:rPr>
                <w:b/>
              </w:rPr>
              <w:t>Foundational</w:t>
            </w:r>
            <w:r w:rsidR="00046510">
              <w:rPr>
                <w:b/>
              </w:rPr>
              <w:t xml:space="preserve">: </w:t>
            </w:r>
            <w:r w:rsidRPr="00360B02">
              <w:t>When Māori privacy interests have been identified, individual initiatives define their own approach for understanding and responding to those interests.</w:t>
            </w:r>
          </w:p>
        </w:tc>
        <w:tc>
          <w:tcPr>
            <w:tcW w:w="1401" w:type="dxa"/>
            <w:vMerge/>
          </w:tcPr>
          <w:p w14:paraId="7E90200D" w14:textId="77777777" w:rsidR="00046510" w:rsidRDefault="00046510" w:rsidP="005D0005">
            <w:pPr>
              <w:rPr>
                <w:b/>
              </w:rPr>
            </w:pPr>
          </w:p>
        </w:tc>
      </w:tr>
      <w:tr w:rsidR="00046510" w14:paraId="32084B6F" w14:textId="77777777" w:rsidTr="00D2481E">
        <w:trPr>
          <w:cantSplit w:val="0"/>
        </w:trPr>
        <w:tc>
          <w:tcPr>
            <w:tcW w:w="1484" w:type="dxa"/>
            <w:vMerge/>
          </w:tcPr>
          <w:p w14:paraId="4BB87DD9" w14:textId="77777777" w:rsidR="00046510" w:rsidRDefault="00046510" w:rsidP="005D0005">
            <w:pPr>
              <w:rPr>
                <w:b/>
              </w:rPr>
            </w:pPr>
          </w:p>
        </w:tc>
        <w:tc>
          <w:tcPr>
            <w:tcW w:w="1654" w:type="dxa"/>
            <w:vMerge/>
          </w:tcPr>
          <w:p w14:paraId="7FC0CB44" w14:textId="77777777" w:rsidR="00046510" w:rsidRDefault="00046510" w:rsidP="005D0005">
            <w:pPr>
              <w:rPr>
                <w:b/>
              </w:rPr>
            </w:pPr>
          </w:p>
        </w:tc>
        <w:tc>
          <w:tcPr>
            <w:tcW w:w="4394" w:type="dxa"/>
          </w:tcPr>
          <w:p w14:paraId="2242DCF3" w14:textId="77777777" w:rsidR="00046510" w:rsidRDefault="00046510" w:rsidP="005D0005">
            <w:pPr>
              <w:rPr>
                <w:b/>
              </w:rPr>
            </w:pPr>
            <w:r>
              <w:rPr>
                <w:b/>
              </w:rPr>
              <w:t xml:space="preserve">Managed: </w:t>
            </w:r>
            <w:r w:rsidR="00360B02" w:rsidRPr="00360B02">
              <w:t>When Māori privacy interests have been identified a partnership approach is used and provides for personal information to be interpreted with reference to Māori priorities, values and worldviews.</w:t>
            </w:r>
          </w:p>
        </w:tc>
        <w:tc>
          <w:tcPr>
            <w:tcW w:w="1401" w:type="dxa"/>
            <w:vMerge/>
          </w:tcPr>
          <w:p w14:paraId="7A2329D2" w14:textId="77777777" w:rsidR="00046510" w:rsidRDefault="00046510" w:rsidP="005D0005">
            <w:pPr>
              <w:rPr>
                <w:b/>
              </w:rPr>
            </w:pPr>
          </w:p>
        </w:tc>
      </w:tr>
      <w:tr w:rsidR="00AE3790" w14:paraId="11F0D1FB" w14:textId="77777777" w:rsidTr="00E50C58">
        <w:trPr>
          <w:cantSplit w:val="0"/>
        </w:trPr>
        <w:tc>
          <w:tcPr>
            <w:tcW w:w="1484" w:type="dxa"/>
          </w:tcPr>
          <w:p w14:paraId="0342BBC4" w14:textId="77777777" w:rsidR="00AE3790" w:rsidRDefault="00AE3790" w:rsidP="00AE3790">
            <w:pPr>
              <w:rPr>
                <w:b/>
              </w:rPr>
            </w:pPr>
            <w:r>
              <w:rPr>
                <w:b/>
              </w:rPr>
              <w:t>Context</w:t>
            </w:r>
            <w:r w:rsidRPr="00E93801">
              <w:rPr>
                <w:b/>
              </w:rPr>
              <w:t>:</w:t>
            </w:r>
          </w:p>
        </w:tc>
        <w:tc>
          <w:tcPr>
            <w:tcW w:w="7449" w:type="dxa"/>
            <w:gridSpan w:val="3"/>
          </w:tcPr>
          <w:p w14:paraId="322A0AE5" w14:textId="77777777" w:rsidR="00AE3790" w:rsidRPr="00D73E5B" w:rsidRDefault="00AE3790" w:rsidP="00AE3790">
            <w:r w:rsidRPr="004B205D">
              <w:rPr>
                <w:highlight w:val="yellow"/>
              </w:rPr>
              <w:t>(insert comment here)</w:t>
            </w:r>
          </w:p>
        </w:tc>
      </w:tr>
      <w:tr w:rsidR="00AE3790" w14:paraId="45C52693" w14:textId="77777777" w:rsidTr="00E50C58">
        <w:trPr>
          <w:cantSplit w:val="0"/>
        </w:trPr>
        <w:tc>
          <w:tcPr>
            <w:tcW w:w="1484" w:type="dxa"/>
          </w:tcPr>
          <w:p w14:paraId="5EB44C0B" w14:textId="77777777" w:rsidR="00AE3790" w:rsidRDefault="00AE3790" w:rsidP="00AE3790">
            <w:pPr>
              <w:rPr>
                <w:b/>
              </w:rPr>
            </w:pPr>
            <w:r>
              <w:rPr>
                <w:b/>
              </w:rPr>
              <w:t>Achievement:</w:t>
            </w:r>
          </w:p>
        </w:tc>
        <w:tc>
          <w:tcPr>
            <w:tcW w:w="7449" w:type="dxa"/>
            <w:gridSpan w:val="3"/>
          </w:tcPr>
          <w:p w14:paraId="45D6353C" w14:textId="77777777" w:rsidR="00AE3790" w:rsidRPr="004B205D" w:rsidRDefault="00AE3790" w:rsidP="00AE3790">
            <w:pPr>
              <w:rPr>
                <w:highlight w:val="yellow"/>
              </w:rPr>
            </w:pPr>
            <w:r w:rsidRPr="004B205D">
              <w:rPr>
                <w:highlight w:val="yellow"/>
              </w:rPr>
              <w:t>(insert comment here)</w:t>
            </w:r>
          </w:p>
        </w:tc>
      </w:tr>
      <w:tr w:rsidR="00AE3790" w14:paraId="06115481" w14:textId="77777777" w:rsidTr="00E50C58">
        <w:trPr>
          <w:cantSplit w:val="0"/>
        </w:trPr>
        <w:tc>
          <w:tcPr>
            <w:tcW w:w="1484" w:type="dxa"/>
          </w:tcPr>
          <w:p w14:paraId="37659ED5" w14:textId="77777777" w:rsidR="00AE3790" w:rsidRDefault="00AE3790" w:rsidP="00AE3790">
            <w:pPr>
              <w:rPr>
                <w:b/>
              </w:rPr>
            </w:pPr>
            <w:r>
              <w:rPr>
                <w:b/>
              </w:rPr>
              <w:t>Future focus:</w:t>
            </w:r>
          </w:p>
        </w:tc>
        <w:tc>
          <w:tcPr>
            <w:tcW w:w="7449" w:type="dxa"/>
            <w:gridSpan w:val="3"/>
          </w:tcPr>
          <w:p w14:paraId="508B2B84" w14:textId="77777777" w:rsidR="00AE3790" w:rsidRPr="004B205D" w:rsidRDefault="00AE3790" w:rsidP="00AE3790">
            <w:pPr>
              <w:rPr>
                <w:highlight w:val="yellow"/>
              </w:rPr>
            </w:pPr>
            <w:r w:rsidRPr="004B205D">
              <w:rPr>
                <w:highlight w:val="yellow"/>
              </w:rPr>
              <w:t>(insert comment here)</w:t>
            </w:r>
          </w:p>
        </w:tc>
      </w:tr>
      <w:tr w:rsidR="00AE3790" w14:paraId="3DD97CE5" w14:textId="77777777" w:rsidTr="00E50C58">
        <w:trPr>
          <w:cantSplit w:val="0"/>
        </w:trPr>
        <w:tc>
          <w:tcPr>
            <w:tcW w:w="1484" w:type="dxa"/>
          </w:tcPr>
          <w:p w14:paraId="61E37B67" w14:textId="77777777" w:rsidR="00AE3790" w:rsidRDefault="00AE3790" w:rsidP="00AE3790">
            <w:pPr>
              <w:rPr>
                <w:b/>
              </w:rPr>
            </w:pPr>
            <w:r>
              <w:rPr>
                <w:b/>
              </w:rPr>
              <w:t>Challenge:</w:t>
            </w:r>
          </w:p>
        </w:tc>
        <w:tc>
          <w:tcPr>
            <w:tcW w:w="7449" w:type="dxa"/>
            <w:gridSpan w:val="3"/>
          </w:tcPr>
          <w:p w14:paraId="6F021481" w14:textId="77777777" w:rsidR="00AE3790" w:rsidRPr="004B205D" w:rsidRDefault="00AE3790" w:rsidP="00AE3790">
            <w:pPr>
              <w:rPr>
                <w:highlight w:val="yellow"/>
              </w:rPr>
            </w:pPr>
            <w:r w:rsidRPr="004B205D">
              <w:rPr>
                <w:highlight w:val="yellow"/>
              </w:rPr>
              <w:t>(insert comment here)</w:t>
            </w:r>
          </w:p>
        </w:tc>
      </w:tr>
    </w:tbl>
    <w:p w14:paraId="5B99238C" w14:textId="77777777" w:rsidR="00A10695" w:rsidRDefault="00A10695" w:rsidP="00603635">
      <w:pPr>
        <w:rPr>
          <w:b/>
        </w:rPr>
      </w:pPr>
      <w:r>
        <w:rPr>
          <w:b/>
        </w:rPr>
        <w:br w:type="page"/>
      </w:r>
    </w:p>
    <w:p w14:paraId="1CF5A135" w14:textId="77777777" w:rsidR="004B205D" w:rsidRPr="00EF4E8F" w:rsidRDefault="004B205D" w:rsidP="00EF4E8F">
      <w:pPr>
        <w:pStyle w:val="Heading1"/>
        <w:rPr>
          <w:rFonts w:asciiTheme="minorHAnsi" w:hAnsiTheme="minorHAnsi"/>
          <w:color w:val="1F546B"/>
          <w:sz w:val="40"/>
        </w:rPr>
      </w:pPr>
      <w:r w:rsidRPr="00EF4E8F">
        <w:rPr>
          <w:rFonts w:asciiTheme="minorHAnsi" w:hAnsiTheme="minorHAnsi"/>
          <w:color w:val="1F546B"/>
          <w:sz w:val="40"/>
        </w:rPr>
        <w:lastRenderedPageBreak/>
        <w:t>Leadership</w:t>
      </w:r>
    </w:p>
    <w:p w14:paraId="16361E96" w14:textId="77777777" w:rsidR="004C2FFF" w:rsidRPr="004C2FFF" w:rsidRDefault="00E466D1" w:rsidP="004C2FFF">
      <w:hyperlink r:id="rId30" w:history="1">
        <w:r w:rsidR="004C2FFF" w:rsidRPr="004C2FFF">
          <w:rPr>
            <w:rStyle w:val="Hyperlink"/>
          </w:rPr>
          <w:t>Leadership guidance</w:t>
        </w:r>
      </w:hyperlink>
    </w:p>
    <w:tbl>
      <w:tblPr>
        <w:tblStyle w:val="DIATable"/>
        <w:tblW w:w="8933" w:type="dxa"/>
        <w:tblLook w:val="04A0" w:firstRow="1" w:lastRow="0" w:firstColumn="1" w:lastColumn="0" w:noHBand="0" w:noVBand="1"/>
      </w:tblPr>
      <w:tblGrid>
        <w:gridCol w:w="1484"/>
        <w:gridCol w:w="1654"/>
        <w:gridCol w:w="4394"/>
        <w:gridCol w:w="1401"/>
      </w:tblGrid>
      <w:tr w:rsidR="00612F66" w14:paraId="7733B84A" w14:textId="77777777" w:rsidTr="00612F66">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009900"/>
          </w:tcPr>
          <w:p w14:paraId="35401A0A" w14:textId="77777777" w:rsidR="00612F66" w:rsidRPr="00A10695" w:rsidRDefault="00612F66" w:rsidP="00612F66">
            <w:r>
              <w:t>Leadership</w:t>
            </w:r>
            <w:r w:rsidRPr="00A10695">
              <w:t xml:space="preserve"> 1: </w:t>
            </w:r>
            <w:r w:rsidR="00360B02" w:rsidRPr="00360B02">
              <w:t>Effective oversight for privacy practice through effective governance.</w:t>
            </w:r>
          </w:p>
        </w:tc>
      </w:tr>
      <w:tr w:rsidR="00046510" w14:paraId="674FE861" w14:textId="77777777" w:rsidTr="00D2481E">
        <w:trPr>
          <w:cantSplit w:val="0"/>
        </w:trPr>
        <w:tc>
          <w:tcPr>
            <w:tcW w:w="1484" w:type="dxa"/>
            <w:vMerge w:val="restart"/>
          </w:tcPr>
          <w:p w14:paraId="1631D3BD" w14:textId="77777777" w:rsidR="00046510" w:rsidRDefault="00046510" w:rsidP="00612F66">
            <w:pPr>
              <w:rPr>
                <w:b/>
              </w:rPr>
            </w:pPr>
            <w:r>
              <w:rPr>
                <w:b/>
              </w:rPr>
              <w:t>L1.1</w:t>
            </w:r>
          </w:p>
        </w:tc>
        <w:tc>
          <w:tcPr>
            <w:tcW w:w="1654" w:type="dxa"/>
            <w:vMerge w:val="restart"/>
          </w:tcPr>
          <w:p w14:paraId="1094C005" w14:textId="77777777" w:rsidR="00046510" w:rsidRDefault="00046510" w:rsidP="00612F66">
            <w:pPr>
              <w:rPr>
                <w:b/>
              </w:rPr>
            </w:pPr>
            <w:r w:rsidRPr="00504C8A">
              <w:rPr>
                <w:b/>
              </w:rPr>
              <w:t>Privacy reporting</w:t>
            </w:r>
          </w:p>
        </w:tc>
        <w:tc>
          <w:tcPr>
            <w:tcW w:w="4394" w:type="dxa"/>
          </w:tcPr>
          <w:p w14:paraId="359748CC" w14:textId="77777777" w:rsidR="00046510" w:rsidRPr="005D36E7" w:rsidRDefault="00046510" w:rsidP="00612F66">
            <w:pPr>
              <w:rPr>
                <w:b/>
              </w:rPr>
            </w:pPr>
            <w:r>
              <w:rPr>
                <w:b/>
              </w:rPr>
              <w:t xml:space="preserve">Informal: </w:t>
            </w:r>
            <w:r w:rsidR="00360B02" w:rsidRPr="00360B02">
              <w:t>The senior leadership or executive team has little awareness of, or pays little attention to, privacy and its management.</w:t>
            </w:r>
          </w:p>
        </w:tc>
        <w:tc>
          <w:tcPr>
            <w:tcW w:w="1401" w:type="dxa"/>
            <w:vMerge w:val="restart"/>
          </w:tcPr>
          <w:p w14:paraId="07D090CE" w14:textId="040A8FE1" w:rsidR="00046510" w:rsidRPr="00DE51C7" w:rsidRDefault="00DE51C7" w:rsidP="00612F66">
            <w:pPr>
              <w:jc w:val="center"/>
            </w:pPr>
            <w:r w:rsidRPr="00DE51C7">
              <w:rPr>
                <w:highlight w:val="yellow"/>
              </w:rPr>
              <w:t>Type rating here</w:t>
            </w:r>
          </w:p>
        </w:tc>
      </w:tr>
      <w:tr w:rsidR="00046510" w14:paraId="13CB3846" w14:textId="77777777" w:rsidTr="00D2481E">
        <w:trPr>
          <w:cantSplit w:val="0"/>
        </w:trPr>
        <w:tc>
          <w:tcPr>
            <w:tcW w:w="1484" w:type="dxa"/>
            <w:vMerge/>
          </w:tcPr>
          <w:p w14:paraId="7F92BE41" w14:textId="77777777" w:rsidR="00046510" w:rsidRDefault="00046510" w:rsidP="00612F66">
            <w:pPr>
              <w:jc w:val="center"/>
              <w:rPr>
                <w:b/>
              </w:rPr>
            </w:pPr>
          </w:p>
        </w:tc>
        <w:tc>
          <w:tcPr>
            <w:tcW w:w="1654" w:type="dxa"/>
            <w:vMerge/>
          </w:tcPr>
          <w:p w14:paraId="3B99CED5" w14:textId="77777777" w:rsidR="00046510" w:rsidRDefault="00046510" w:rsidP="00612F66">
            <w:pPr>
              <w:rPr>
                <w:b/>
              </w:rPr>
            </w:pPr>
          </w:p>
        </w:tc>
        <w:tc>
          <w:tcPr>
            <w:tcW w:w="4394" w:type="dxa"/>
          </w:tcPr>
          <w:p w14:paraId="16A087BD" w14:textId="77777777" w:rsidR="00046510" w:rsidRDefault="007F7009" w:rsidP="00612F66">
            <w:pPr>
              <w:rPr>
                <w:b/>
              </w:rPr>
            </w:pPr>
            <w:r>
              <w:rPr>
                <w:b/>
              </w:rPr>
              <w:t>Foundational</w:t>
            </w:r>
            <w:r w:rsidR="00046510">
              <w:rPr>
                <w:b/>
              </w:rPr>
              <w:t xml:space="preserve">: </w:t>
            </w:r>
            <w:r w:rsidR="00360B02" w:rsidRPr="00360B02">
              <w:t>The privacy officer engages with the senior leadership or executive team, governance board and/or committees when there are specific issues and events that need to be addressed.</w:t>
            </w:r>
          </w:p>
        </w:tc>
        <w:tc>
          <w:tcPr>
            <w:tcW w:w="1401" w:type="dxa"/>
            <w:vMerge/>
          </w:tcPr>
          <w:p w14:paraId="278426A4" w14:textId="77777777" w:rsidR="00046510" w:rsidRPr="00DE51C7" w:rsidRDefault="00046510" w:rsidP="00612F66"/>
        </w:tc>
      </w:tr>
      <w:tr w:rsidR="00046510" w14:paraId="0B5DFB09" w14:textId="77777777" w:rsidTr="00D2481E">
        <w:trPr>
          <w:cantSplit w:val="0"/>
        </w:trPr>
        <w:tc>
          <w:tcPr>
            <w:tcW w:w="1484" w:type="dxa"/>
            <w:vMerge/>
          </w:tcPr>
          <w:p w14:paraId="763A8EF9" w14:textId="77777777" w:rsidR="00046510" w:rsidRDefault="00046510" w:rsidP="00612F66">
            <w:pPr>
              <w:rPr>
                <w:b/>
              </w:rPr>
            </w:pPr>
          </w:p>
        </w:tc>
        <w:tc>
          <w:tcPr>
            <w:tcW w:w="1654" w:type="dxa"/>
            <w:vMerge/>
          </w:tcPr>
          <w:p w14:paraId="3F8BD37A" w14:textId="77777777" w:rsidR="00046510" w:rsidRDefault="00046510" w:rsidP="00612F66">
            <w:pPr>
              <w:rPr>
                <w:b/>
              </w:rPr>
            </w:pPr>
          </w:p>
        </w:tc>
        <w:tc>
          <w:tcPr>
            <w:tcW w:w="4394" w:type="dxa"/>
          </w:tcPr>
          <w:p w14:paraId="723CD43F" w14:textId="77777777" w:rsidR="00046510" w:rsidRDefault="00046510" w:rsidP="00612F66">
            <w:pPr>
              <w:rPr>
                <w:b/>
              </w:rPr>
            </w:pPr>
            <w:r>
              <w:rPr>
                <w:b/>
              </w:rPr>
              <w:t xml:space="preserve">Managed: </w:t>
            </w:r>
            <w:r w:rsidR="00360B02" w:rsidRPr="00360B02">
              <w:t>The privacy officer has regular updates and discussions with the senior leadership or executive team, governance board and/or committees on the agency’s privacy culture and values, privacy strategy and programme, and privacy issues and risks.</w:t>
            </w:r>
          </w:p>
        </w:tc>
        <w:tc>
          <w:tcPr>
            <w:tcW w:w="1401" w:type="dxa"/>
            <w:vMerge/>
          </w:tcPr>
          <w:p w14:paraId="22A7686E" w14:textId="77777777" w:rsidR="00046510" w:rsidRPr="00DE51C7" w:rsidRDefault="00046510" w:rsidP="00612F66"/>
        </w:tc>
      </w:tr>
      <w:tr w:rsidR="00046510" w14:paraId="165CD334" w14:textId="77777777" w:rsidTr="00D2481E">
        <w:trPr>
          <w:cantSplit w:val="0"/>
        </w:trPr>
        <w:tc>
          <w:tcPr>
            <w:tcW w:w="1484" w:type="dxa"/>
            <w:vMerge w:val="restart"/>
          </w:tcPr>
          <w:p w14:paraId="2F744F27" w14:textId="77777777" w:rsidR="00046510" w:rsidRDefault="00046510" w:rsidP="00612F66">
            <w:pPr>
              <w:rPr>
                <w:b/>
              </w:rPr>
            </w:pPr>
            <w:r>
              <w:rPr>
                <w:b/>
              </w:rPr>
              <w:t>L1.2</w:t>
            </w:r>
          </w:p>
        </w:tc>
        <w:tc>
          <w:tcPr>
            <w:tcW w:w="1654" w:type="dxa"/>
            <w:vMerge w:val="restart"/>
          </w:tcPr>
          <w:p w14:paraId="1C0D5E91" w14:textId="77777777" w:rsidR="00046510" w:rsidRDefault="00046510" w:rsidP="00612F66">
            <w:pPr>
              <w:rPr>
                <w:b/>
              </w:rPr>
            </w:pPr>
            <w:r w:rsidRPr="00504C8A">
              <w:rPr>
                <w:b/>
              </w:rPr>
              <w:t>Privacy and risk management</w:t>
            </w:r>
          </w:p>
        </w:tc>
        <w:tc>
          <w:tcPr>
            <w:tcW w:w="4394" w:type="dxa"/>
          </w:tcPr>
          <w:p w14:paraId="47F19A85" w14:textId="77777777" w:rsidR="00046510" w:rsidRDefault="00046510" w:rsidP="00612F66">
            <w:pPr>
              <w:rPr>
                <w:b/>
              </w:rPr>
            </w:pPr>
            <w:r>
              <w:rPr>
                <w:b/>
              </w:rPr>
              <w:t xml:space="preserve">Informal: </w:t>
            </w:r>
            <w:r w:rsidR="00360B02" w:rsidRPr="00360B02">
              <w:t>People have an idea of who is responsible for aspects of privacy. Day-to-day functional leadership responsibilities have not been clearly assigned and privacy is not integrated into the agency’s risk management structure.</w:t>
            </w:r>
          </w:p>
        </w:tc>
        <w:tc>
          <w:tcPr>
            <w:tcW w:w="1401" w:type="dxa"/>
            <w:vMerge w:val="restart"/>
          </w:tcPr>
          <w:p w14:paraId="1AC1C2DA" w14:textId="09B69E61" w:rsidR="00046510" w:rsidRPr="00DE51C7" w:rsidRDefault="00DE51C7" w:rsidP="00612F66">
            <w:pPr>
              <w:jc w:val="center"/>
            </w:pPr>
            <w:r w:rsidRPr="00DE51C7">
              <w:rPr>
                <w:highlight w:val="yellow"/>
              </w:rPr>
              <w:t>Type rating here</w:t>
            </w:r>
          </w:p>
        </w:tc>
      </w:tr>
      <w:tr w:rsidR="00046510" w14:paraId="0FA01261" w14:textId="77777777" w:rsidTr="00D2481E">
        <w:trPr>
          <w:cantSplit w:val="0"/>
        </w:trPr>
        <w:tc>
          <w:tcPr>
            <w:tcW w:w="1484" w:type="dxa"/>
            <w:vMerge/>
          </w:tcPr>
          <w:p w14:paraId="021F399A" w14:textId="77777777" w:rsidR="00046510" w:rsidRDefault="00046510" w:rsidP="00612F66">
            <w:pPr>
              <w:jc w:val="center"/>
              <w:rPr>
                <w:b/>
              </w:rPr>
            </w:pPr>
          </w:p>
        </w:tc>
        <w:tc>
          <w:tcPr>
            <w:tcW w:w="1654" w:type="dxa"/>
            <w:vMerge/>
          </w:tcPr>
          <w:p w14:paraId="02F175E8" w14:textId="77777777" w:rsidR="00046510" w:rsidRDefault="00046510" w:rsidP="00612F66">
            <w:pPr>
              <w:rPr>
                <w:b/>
              </w:rPr>
            </w:pPr>
          </w:p>
        </w:tc>
        <w:tc>
          <w:tcPr>
            <w:tcW w:w="4394" w:type="dxa"/>
          </w:tcPr>
          <w:p w14:paraId="0444F82A" w14:textId="77777777" w:rsidR="00046510" w:rsidRDefault="007F7009" w:rsidP="00612F66">
            <w:pPr>
              <w:rPr>
                <w:b/>
              </w:rPr>
            </w:pPr>
            <w:r>
              <w:rPr>
                <w:b/>
              </w:rPr>
              <w:t>Foundational</w:t>
            </w:r>
            <w:r w:rsidR="00046510">
              <w:rPr>
                <w:b/>
              </w:rPr>
              <w:t xml:space="preserve">: </w:t>
            </w:r>
            <w:r w:rsidR="00360B02" w:rsidRPr="00360B02">
              <w:t>A senior leader has been assigned responsibility for functional oversight for privacy, though privacy is not integrated into the agency’s risk management structure.</w:t>
            </w:r>
          </w:p>
        </w:tc>
        <w:tc>
          <w:tcPr>
            <w:tcW w:w="1401" w:type="dxa"/>
            <w:vMerge/>
          </w:tcPr>
          <w:p w14:paraId="64F1142E" w14:textId="77777777" w:rsidR="00046510" w:rsidRDefault="00046510" w:rsidP="00612F66">
            <w:pPr>
              <w:rPr>
                <w:b/>
              </w:rPr>
            </w:pPr>
          </w:p>
        </w:tc>
      </w:tr>
      <w:tr w:rsidR="00046510" w14:paraId="3629D11F" w14:textId="77777777" w:rsidTr="00D2481E">
        <w:trPr>
          <w:cantSplit w:val="0"/>
        </w:trPr>
        <w:tc>
          <w:tcPr>
            <w:tcW w:w="1484" w:type="dxa"/>
            <w:vMerge/>
          </w:tcPr>
          <w:p w14:paraId="0AEDBB8E" w14:textId="77777777" w:rsidR="00046510" w:rsidRDefault="00046510" w:rsidP="00612F66">
            <w:pPr>
              <w:rPr>
                <w:b/>
              </w:rPr>
            </w:pPr>
          </w:p>
        </w:tc>
        <w:tc>
          <w:tcPr>
            <w:tcW w:w="1654" w:type="dxa"/>
            <w:vMerge/>
          </w:tcPr>
          <w:p w14:paraId="5D40DF6C" w14:textId="77777777" w:rsidR="00046510" w:rsidRDefault="00046510" w:rsidP="00612F66">
            <w:pPr>
              <w:rPr>
                <w:b/>
              </w:rPr>
            </w:pPr>
          </w:p>
        </w:tc>
        <w:tc>
          <w:tcPr>
            <w:tcW w:w="4394" w:type="dxa"/>
          </w:tcPr>
          <w:p w14:paraId="1CC80BDA" w14:textId="77777777" w:rsidR="00046510" w:rsidRDefault="00046510" w:rsidP="00612F66">
            <w:pPr>
              <w:rPr>
                <w:b/>
              </w:rPr>
            </w:pPr>
            <w:r>
              <w:rPr>
                <w:b/>
              </w:rPr>
              <w:t xml:space="preserve">Managed: </w:t>
            </w:r>
            <w:r w:rsidR="00360B02" w:rsidRPr="00360B02">
              <w:t>Functional oversight for privacy and its work programme is integrated into the risk management organisational structure and includes monitoring compliance.</w:t>
            </w:r>
          </w:p>
        </w:tc>
        <w:tc>
          <w:tcPr>
            <w:tcW w:w="1401" w:type="dxa"/>
            <w:vMerge/>
          </w:tcPr>
          <w:p w14:paraId="417B66F6" w14:textId="77777777" w:rsidR="00046510" w:rsidRDefault="00046510" w:rsidP="00612F66">
            <w:pPr>
              <w:rPr>
                <w:b/>
              </w:rPr>
            </w:pPr>
          </w:p>
        </w:tc>
      </w:tr>
      <w:tr w:rsidR="00AE3790" w14:paraId="1A244DE1" w14:textId="77777777" w:rsidTr="00E50C58">
        <w:trPr>
          <w:cantSplit w:val="0"/>
        </w:trPr>
        <w:tc>
          <w:tcPr>
            <w:tcW w:w="1484" w:type="dxa"/>
          </w:tcPr>
          <w:p w14:paraId="7D485F5C" w14:textId="77777777" w:rsidR="00AE3790" w:rsidRDefault="00AE3790" w:rsidP="00AE3790">
            <w:pPr>
              <w:rPr>
                <w:b/>
              </w:rPr>
            </w:pPr>
            <w:r>
              <w:rPr>
                <w:b/>
              </w:rPr>
              <w:t>Context</w:t>
            </w:r>
            <w:r w:rsidRPr="00E93801">
              <w:rPr>
                <w:b/>
              </w:rPr>
              <w:t>:</w:t>
            </w:r>
          </w:p>
        </w:tc>
        <w:tc>
          <w:tcPr>
            <w:tcW w:w="7449" w:type="dxa"/>
            <w:gridSpan w:val="3"/>
          </w:tcPr>
          <w:p w14:paraId="5C7F491A" w14:textId="77777777" w:rsidR="00AE3790" w:rsidRPr="00D73E5B" w:rsidRDefault="00AE3790" w:rsidP="00AE3790">
            <w:r w:rsidRPr="004B205D">
              <w:rPr>
                <w:highlight w:val="yellow"/>
              </w:rPr>
              <w:t>(insert comment here)</w:t>
            </w:r>
          </w:p>
        </w:tc>
      </w:tr>
      <w:tr w:rsidR="00AE3790" w14:paraId="088EB30F" w14:textId="77777777" w:rsidTr="00E50C58">
        <w:trPr>
          <w:cantSplit w:val="0"/>
        </w:trPr>
        <w:tc>
          <w:tcPr>
            <w:tcW w:w="1484" w:type="dxa"/>
          </w:tcPr>
          <w:p w14:paraId="7DCC65A2" w14:textId="77777777" w:rsidR="00AE3790" w:rsidRDefault="00AE3790" w:rsidP="00AE3790">
            <w:pPr>
              <w:rPr>
                <w:b/>
              </w:rPr>
            </w:pPr>
            <w:r>
              <w:rPr>
                <w:b/>
              </w:rPr>
              <w:t>Achievement:</w:t>
            </w:r>
          </w:p>
        </w:tc>
        <w:tc>
          <w:tcPr>
            <w:tcW w:w="7449" w:type="dxa"/>
            <w:gridSpan w:val="3"/>
          </w:tcPr>
          <w:p w14:paraId="25640132" w14:textId="77777777" w:rsidR="00AE3790" w:rsidRPr="004B205D" w:rsidRDefault="00AE3790" w:rsidP="00AE3790">
            <w:pPr>
              <w:rPr>
                <w:highlight w:val="yellow"/>
              </w:rPr>
            </w:pPr>
            <w:r w:rsidRPr="004B205D">
              <w:rPr>
                <w:highlight w:val="yellow"/>
              </w:rPr>
              <w:t>(insert comment here)</w:t>
            </w:r>
          </w:p>
        </w:tc>
      </w:tr>
      <w:tr w:rsidR="00AE3790" w14:paraId="64726759" w14:textId="77777777" w:rsidTr="00E50C58">
        <w:trPr>
          <w:cantSplit w:val="0"/>
        </w:trPr>
        <w:tc>
          <w:tcPr>
            <w:tcW w:w="1484" w:type="dxa"/>
          </w:tcPr>
          <w:p w14:paraId="6577FC65" w14:textId="77777777" w:rsidR="00AE3790" w:rsidRDefault="00AE3790" w:rsidP="00AE3790">
            <w:pPr>
              <w:rPr>
                <w:b/>
              </w:rPr>
            </w:pPr>
            <w:r>
              <w:rPr>
                <w:b/>
              </w:rPr>
              <w:t>Future focus:</w:t>
            </w:r>
          </w:p>
        </w:tc>
        <w:tc>
          <w:tcPr>
            <w:tcW w:w="7449" w:type="dxa"/>
            <w:gridSpan w:val="3"/>
          </w:tcPr>
          <w:p w14:paraId="471AA680" w14:textId="77777777" w:rsidR="00AE3790" w:rsidRPr="004B205D" w:rsidRDefault="00AE3790" w:rsidP="00AE3790">
            <w:pPr>
              <w:rPr>
                <w:highlight w:val="yellow"/>
              </w:rPr>
            </w:pPr>
            <w:r w:rsidRPr="004B205D">
              <w:rPr>
                <w:highlight w:val="yellow"/>
              </w:rPr>
              <w:t>(insert comment here)</w:t>
            </w:r>
          </w:p>
        </w:tc>
      </w:tr>
      <w:tr w:rsidR="00AE3790" w14:paraId="4A3D0154" w14:textId="77777777" w:rsidTr="00E50C58">
        <w:trPr>
          <w:cantSplit w:val="0"/>
        </w:trPr>
        <w:tc>
          <w:tcPr>
            <w:tcW w:w="1484" w:type="dxa"/>
          </w:tcPr>
          <w:p w14:paraId="13F39BEC" w14:textId="77777777" w:rsidR="00AE3790" w:rsidRDefault="00AE3790" w:rsidP="00AE3790">
            <w:pPr>
              <w:rPr>
                <w:b/>
              </w:rPr>
            </w:pPr>
            <w:r>
              <w:rPr>
                <w:b/>
              </w:rPr>
              <w:t>Challenge:</w:t>
            </w:r>
          </w:p>
        </w:tc>
        <w:tc>
          <w:tcPr>
            <w:tcW w:w="7449" w:type="dxa"/>
            <w:gridSpan w:val="3"/>
          </w:tcPr>
          <w:p w14:paraId="03B1775E" w14:textId="77777777" w:rsidR="00AE3790" w:rsidRPr="004B205D" w:rsidRDefault="00AE3790" w:rsidP="00AE3790">
            <w:pPr>
              <w:rPr>
                <w:highlight w:val="yellow"/>
              </w:rPr>
            </w:pPr>
            <w:r w:rsidRPr="004B205D">
              <w:rPr>
                <w:highlight w:val="yellow"/>
              </w:rPr>
              <w:t>(insert comment here)</w:t>
            </w:r>
          </w:p>
        </w:tc>
      </w:tr>
    </w:tbl>
    <w:p w14:paraId="2168C57D" w14:textId="77777777" w:rsidR="00975C63" w:rsidRDefault="00975C63">
      <w:pPr>
        <w:keepLines w:val="0"/>
        <w:rPr>
          <w:b/>
        </w:rPr>
      </w:pPr>
    </w:p>
    <w:tbl>
      <w:tblPr>
        <w:tblStyle w:val="DIATable"/>
        <w:tblW w:w="0" w:type="auto"/>
        <w:tblLayout w:type="fixed"/>
        <w:tblLook w:val="04A0" w:firstRow="1" w:lastRow="0" w:firstColumn="1" w:lastColumn="0" w:noHBand="0" w:noVBand="1"/>
      </w:tblPr>
      <w:tblGrid>
        <w:gridCol w:w="1484"/>
        <w:gridCol w:w="1654"/>
        <w:gridCol w:w="4394"/>
        <w:gridCol w:w="1401"/>
      </w:tblGrid>
      <w:tr w:rsidR="00612F66" w14:paraId="33BD89CE" w14:textId="77777777" w:rsidTr="00DE51C7">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009900"/>
          </w:tcPr>
          <w:p w14:paraId="4B6D1B4F" w14:textId="77777777" w:rsidR="00612F66" w:rsidRDefault="00612F66" w:rsidP="00B519CB">
            <w:pPr>
              <w:rPr>
                <w:b w:val="0"/>
              </w:rPr>
            </w:pPr>
            <w:r>
              <w:t>Leadership 2</w:t>
            </w:r>
            <w:r w:rsidRPr="00D73E5B">
              <w:t xml:space="preserve">: </w:t>
            </w:r>
            <w:r w:rsidR="00360B02" w:rsidRPr="00360B02">
              <w:t>Delivery of objectives through management structure, roles and responsibilities, and the capacity to achieve these objectives.</w:t>
            </w:r>
          </w:p>
        </w:tc>
      </w:tr>
      <w:tr w:rsidR="00046510" w14:paraId="65FA2DF1" w14:textId="77777777" w:rsidTr="00D2481E">
        <w:trPr>
          <w:cantSplit w:val="0"/>
        </w:trPr>
        <w:tc>
          <w:tcPr>
            <w:tcW w:w="1484" w:type="dxa"/>
            <w:vMerge w:val="restart"/>
          </w:tcPr>
          <w:p w14:paraId="095C7117" w14:textId="77777777" w:rsidR="00046510" w:rsidRDefault="00046510" w:rsidP="00612F66">
            <w:pPr>
              <w:rPr>
                <w:b/>
              </w:rPr>
            </w:pPr>
            <w:r>
              <w:rPr>
                <w:b/>
              </w:rPr>
              <w:t>L2.1</w:t>
            </w:r>
          </w:p>
        </w:tc>
        <w:tc>
          <w:tcPr>
            <w:tcW w:w="1654" w:type="dxa"/>
            <w:vMerge w:val="restart"/>
          </w:tcPr>
          <w:p w14:paraId="3A6B3D3F" w14:textId="77777777" w:rsidR="00046510" w:rsidRDefault="00046510" w:rsidP="00612F66">
            <w:pPr>
              <w:rPr>
                <w:b/>
              </w:rPr>
            </w:pPr>
            <w:r w:rsidRPr="00504C8A">
              <w:rPr>
                <w:b/>
              </w:rPr>
              <w:t>Responsibility and accountability</w:t>
            </w:r>
          </w:p>
        </w:tc>
        <w:tc>
          <w:tcPr>
            <w:tcW w:w="4394" w:type="dxa"/>
          </w:tcPr>
          <w:p w14:paraId="3F197513" w14:textId="77777777" w:rsidR="00046510" w:rsidRPr="005D36E7" w:rsidRDefault="00046510" w:rsidP="00612F66">
            <w:pPr>
              <w:rPr>
                <w:b/>
              </w:rPr>
            </w:pPr>
            <w:r>
              <w:rPr>
                <w:b/>
              </w:rPr>
              <w:t xml:space="preserve">Informal: </w:t>
            </w:r>
            <w:r w:rsidR="00360B02" w:rsidRPr="00360B02">
              <w:t>Responsibility and accountability for the implementation of the privacy strategy and work programme are unclear or absent.</w:t>
            </w:r>
          </w:p>
        </w:tc>
        <w:tc>
          <w:tcPr>
            <w:tcW w:w="1401" w:type="dxa"/>
            <w:vMerge w:val="restart"/>
          </w:tcPr>
          <w:p w14:paraId="4EAD35EA" w14:textId="77777777" w:rsidR="00046510" w:rsidRPr="00DE51C7" w:rsidRDefault="00046510" w:rsidP="00612F66">
            <w:pPr>
              <w:jc w:val="center"/>
            </w:pPr>
            <w:r w:rsidRPr="00DE51C7">
              <w:rPr>
                <w:highlight w:val="yellow"/>
              </w:rPr>
              <w:t>Type rating here</w:t>
            </w:r>
          </w:p>
        </w:tc>
      </w:tr>
      <w:tr w:rsidR="00046510" w14:paraId="4FD73A5B" w14:textId="77777777" w:rsidTr="00D2481E">
        <w:trPr>
          <w:cantSplit w:val="0"/>
        </w:trPr>
        <w:tc>
          <w:tcPr>
            <w:tcW w:w="1484" w:type="dxa"/>
            <w:vMerge/>
          </w:tcPr>
          <w:p w14:paraId="49C171E2" w14:textId="77777777" w:rsidR="00046510" w:rsidRDefault="00046510" w:rsidP="00612F66">
            <w:pPr>
              <w:jc w:val="center"/>
              <w:rPr>
                <w:b/>
              </w:rPr>
            </w:pPr>
          </w:p>
        </w:tc>
        <w:tc>
          <w:tcPr>
            <w:tcW w:w="1654" w:type="dxa"/>
            <w:vMerge/>
          </w:tcPr>
          <w:p w14:paraId="1D3AC432" w14:textId="77777777" w:rsidR="00046510" w:rsidRDefault="00046510" w:rsidP="00612F66">
            <w:pPr>
              <w:rPr>
                <w:b/>
              </w:rPr>
            </w:pPr>
          </w:p>
        </w:tc>
        <w:tc>
          <w:tcPr>
            <w:tcW w:w="4394" w:type="dxa"/>
          </w:tcPr>
          <w:p w14:paraId="72856483" w14:textId="77777777" w:rsidR="00046510" w:rsidRDefault="007F7009" w:rsidP="00612F66">
            <w:pPr>
              <w:rPr>
                <w:b/>
              </w:rPr>
            </w:pPr>
            <w:r>
              <w:rPr>
                <w:b/>
              </w:rPr>
              <w:t>Foundational</w:t>
            </w:r>
            <w:r w:rsidR="00046510">
              <w:rPr>
                <w:b/>
              </w:rPr>
              <w:t xml:space="preserve">: </w:t>
            </w:r>
            <w:r w:rsidR="00360B02" w:rsidRPr="00360B02">
              <w:t>The responsibility and accountability for the implementation of the privacy strategy and work programme are seen as the sole responsibility of the privacy officer or team and are not suitably distributed throughout the agency.</w:t>
            </w:r>
          </w:p>
        </w:tc>
        <w:tc>
          <w:tcPr>
            <w:tcW w:w="1401" w:type="dxa"/>
            <w:vMerge/>
          </w:tcPr>
          <w:p w14:paraId="026DF832" w14:textId="77777777" w:rsidR="00046510" w:rsidRPr="00DE51C7" w:rsidRDefault="00046510" w:rsidP="00612F66"/>
        </w:tc>
      </w:tr>
      <w:tr w:rsidR="00046510" w14:paraId="563E6F2B" w14:textId="77777777" w:rsidTr="00D2481E">
        <w:trPr>
          <w:cantSplit w:val="0"/>
        </w:trPr>
        <w:tc>
          <w:tcPr>
            <w:tcW w:w="1484" w:type="dxa"/>
            <w:vMerge/>
          </w:tcPr>
          <w:p w14:paraId="0EE684A3" w14:textId="77777777" w:rsidR="00046510" w:rsidRDefault="00046510" w:rsidP="00612F66">
            <w:pPr>
              <w:rPr>
                <w:b/>
              </w:rPr>
            </w:pPr>
          </w:p>
        </w:tc>
        <w:tc>
          <w:tcPr>
            <w:tcW w:w="1654" w:type="dxa"/>
            <w:vMerge/>
          </w:tcPr>
          <w:p w14:paraId="3C7B27F3" w14:textId="77777777" w:rsidR="00046510" w:rsidRDefault="00046510" w:rsidP="00612F66">
            <w:pPr>
              <w:rPr>
                <w:b/>
              </w:rPr>
            </w:pPr>
          </w:p>
        </w:tc>
        <w:tc>
          <w:tcPr>
            <w:tcW w:w="4394" w:type="dxa"/>
          </w:tcPr>
          <w:p w14:paraId="5BB85ABC" w14:textId="77777777" w:rsidR="00046510" w:rsidRDefault="00046510" w:rsidP="00612F66">
            <w:pPr>
              <w:rPr>
                <w:b/>
              </w:rPr>
            </w:pPr>
            <w:r>
              <w:rPr>
                <w:b/>
              </w:rPr>
              <w:t xml:space="preserve">Managed: </w:t>
            </w:r>
            <w:r w:rsidR="00360B02" w:rsidRPr="00360B02">
              <w:t>Formal line management and governance includes responsibility and accountability for the implementation of the privacy strategy and work programme. These responsib</w:t>
            </w:r>
            <w:r w:rsidR="007F7009">
              <w:t>i</w:t>
            </w:r>
            <w:r w:rsidR="00360B02" w:rsidRPr="00360B02">
              <w:t>lities are suitably distributed throughout the agency.</w:t>
            </w:r>
          </w:p>
        </w:tc>
        <w:tc>
          <w:tcPr>
            <w:tcW w:w="1401" w:type="dxa"/>
            <w:vMerge/>
          </w:tcPr>
          <w:p w14:paraId="4A7DC6BF" w14:textId="77777777" w:rsidR="00046510" w:rsidRPr="00DE51C7" w:rsidRDefault="00046510" w:rsidP="00612F66"/>
        </w:tc>
      </w:tr>
      <w:tr w:rsidR="00046510" w14:paraId="66B99199" w14:textId="77777777" w:rsidTr="00D2481E">
        <w:trPr>
          <w:cantSplit w:val="0"/>
        </w:trPr>
        <w:tc>
          <w:tcPr>
            <w:tcW w:w="1484" w:type="dxa"/>
            <w:vMerge w:val="restart"/>
          </w:tcPr>
          <w:p w14:paraId="343BA009" w14:textId="77777777" w:rsidR="00046510" w:rsidRDefault="00046510" w:rsidP="00612F66">
            <w:pPr>
              <w:rPr>
                <w:b/>
              </w:rPr>
            </w:pPr>
            <w:r>
              <w:rPr>
                <w:b/>
              </w:rPr>
              <w:t>L2.2</w:t>
            </w:r>
          </w:p>
        </w:tc>
        <w:tc>
          <w:tcPr>
            <w:tcW w:w="1654" w:type="dxa"/>
            <w:vMerge w:val="restart"/>
          </w:tcPr>
          <w:p w14:paraId="6E7743D2" w14:textId="77777777" w:rsidR="00046510" w:rsidRDefault="00046510" w:rsidP="00612F66">
            <w:pPr>
              <w:rPr>
                <w:b/>
              </w:rPr>
            </w:pPr>
            <w:r w:rsidRPr="00504C8A">
              <w:rPr>
                <w:b/>
              </w:rPr>
              <w:t>Resourcing</w:t>
            </w:r>
          </w:p>
        </w:tc>
        <w:tc>
          <w:tcPr>
            <w:tcW w:w="4394" w:type="dxa"/>
          </w:tcPr>
          <w:p w14:paraId="7071C539" w14:textId="77777777" w:rsidR="00046510" w:rsidRDefault="00046510" w:rsidP="00612F66">
            <w:pPr>
              <w:rPr>
                <w:b/>
              </w:rPr>
            </w:pPr>
            <w:r>
              <w:rPr>
                <w:b/>
              </w:rPr>
              <w:t xml:space="preserve">Informal: </w:t>
            </w:r>
            <w:r w:rsidR="007F7009" w:rsidRPr="007F7009">
              <w:t>Resourcing for privacy staff and activities is ad hoc and not commensurate with the agency’s privacy profile and privacy work programme.</w:t>
            </w:r>
          </w:p>
        </w:tc>
        <w:tc>
          <w:tcPr>
            <w:tcW w:w="1401" w:type="dxa"/>
            <w:vMerge w:val="restart"/>
          </w:tcPr>
          <w:p w14:paraId="57A81850" w14:textId="77777777" w:rsidR="00046510" w:rsidRPr="00DE51C7" w:rsidRDefault="00046510" w:rsidP="00612F66">
            <w:pPr>
              <w:jc w:val="center"/>
            </w:pPr>
            <w:r w:rsidRPr="00DE51C7">
              <w:rPr>
                <w:highlight w:val="yellow"/>
              </w:rPr>
              <w:t>Type rating here</w:t>
            </w:r>
          </w:p>
        </w:tc>
      </w:tr>
      <w:tr w:rsidR="00046510" w14:paraId="20C0B763" w14:textId="77777777" w:rsidTr="00D2481E">
        <w:trPr>
          <w:cantSplit w:val="0"/>
        </w:trPr>
        <w:tc>
          <w:tcPr>
            <w:tcW w:w="1484" w:type="dxa"/>
            <w:vMerge/>
          </w:tcPr>
          <w:p w14:paraId="781380EE" w14:textId="77777777" w:rsidR="00046510" w:rsidRDefault="00046510" w:rsidP="00612F66">
            <w:pPr>
              <w:jc w:val="center"/>
              <w:rPr>
                <w:b/>
              </w:rPr>
            </w:pPr>
          </w:p>
        </w:tc>
        <w:tc>
          <w:tcPr>
            <w:tcW w:w="1654" w:type="dxa"/>
            <w:vMerge/>
          </w:tcPr>
          <w:p w14:paraId="1F462F50" w14:textId="77777777" w:rsidR="00046510" w:rsidRDefault="00046510" w:rsidP="00612F66">
            <w:pPr>
              <w:rPr>
                <w:b/>
              </w:rPr>
            </w:pPr>
          </w:p>
        </w:tc>
        <w:tc>
          <w:tcPr>
            <w:tcW w:w="4394" w:type="dxa"/>
          </w:tcPr>
          <w:p w14:paraId="6291C57C" w14:textId="77777777" w:rsidR="00046510" w:rsidRDefault="007F7009" w:rsidP="00612F66">
            <w:pPr>
              <w:rPr>
                <w:b/>
              </w:rPr>
            </w:pPr>
            <w:r>
              <w:rPr>
                <w:b/>
              </w:rPr>
              <w:t>Foundational</w:t>
            </w:r>
            <w:r w:rsidR="00046510">
              <w:rPr>
                <w:b/>
              </w:rPr>
              <w:t xml:space="preserve">: </w:t>
            </w:r>
            <w:r w:rsidRPr="007F7009">
              <w:t>Resourcing for privacy staff and activities is planned at the individual initiative level.</w:t>
            </w:r>
          </w:p>
        </w:tc>
        <w:tc>
          <w:tcPr>
            <w:tcW w:w="1401" w:type="dxa"/>
            <w:vMerge/>
          </w:tcPr>
          <w:p w14:paraId="0D521372" w14:textId="77777777" w:rsidR="00046510" w:rsidRPr="00DE51C7" w:rsidRDefault="00046510" w:rsidP="00612F66"/>
        </w:tc>
      </w:tr>
      <w:tr w:rsidR="00046510" w14:paraId="69D45DCD" w14:textId="77777777" w:rsidTr="00D2481E">
        <w:trPr>
          <w:cantSplit w:val="0"/>
        </w:trPr>
        <w:tc>
          <w:tcPr>
            <w:tcW w:w="1484" w:type="dxa"/>
            <w:vMerge/>
          </w:tcPr>
          <w:p w14:paraId="1C480292" w14:textId="77777777" w:rsidR="00046510" w:rsidRDefault="00046510" w:rsidP="00612F66">
            <w:pPr>
              <w:rPr>
                <w:b/>
              </w:rPr>
            </w:pPr>
          </w:p>
        </w:tc>
        <w:tc>
          <w:tcPr>
            <w:tcW w:w="1654" w:type="dxa"/>
            <w:vMerge/>
          </w:tcPr>
          <w:p w14:paraId="119757F5" w14:textId="77777777" w:rsidR="00046510" w:rsidRDefault="00046510" w:rsidP="00612F66">
            <w:pPr>
              <w:rPr>
                <w:b/>
              </w:rPr>
            </w:pPr>
          </w:p>
        </w:tc>
        <w:tc>
          <w:tcPr>
            <w:tcW w:w="4394" w:type="dxa"/>
          </w:tcPr>
          <w:p w14:paraId="76161F54" w14:textId="77777777" w:rsidR="00046510" w:rsidRDefault="00046510" w:rsidP="00612F66">
            <w:pPr>
              <w:rPr>
                <w:b/>
              </w:rPr>
            </w:pPr>
            <w:r>
              <w:rPr>
                <w:b/>
              </w:rPr>
              <w:t xml:space="preserve">Managed: </w:t>
            </w:r>
            <w:r w:rsidR="007F7009" w:rsidRPr="007F7009">
              <w:t>Resourcing for privacy staff and activities is considered at a strategic level within the agency and is commensurate with the agency’s privacy profile and privacy work programme.</w:t>
            </w:r>
          </w:p>
        </w:tc>
        <w:tc>
          <w:tcPr>
            <w:tcW w:w="1401" w:type="dxa"/>
            <w:vMerge/>
          </w:tcPr>
          <w:p w14:paraId="49BCC4BD" w14:textId="77777777" w:rsidR="00046510" w:rsidRPr="00DE51C7" w:rsidRDefault="00046510" w:rsidP="00612F66"/>
        </w:tc>
      </w:tr>
      <w:tr w:rsidR="00046510" w14:paraId="3675E2E0" w14:textId="77777777" w:rsidTr="00D2481E">
        <w:trPr>
          <w:cantSplit w:val="0"/>
        </w:trPr>
        <w:tc>
          <w:tcPr>
            <w:tcW w:w="1484" w:type="dxa"/>
            <w:vMerge w:val="restart"/>
          </w:tcPr>
          <w:p w14:paraId="131F64D5" w14:textId="77777777" w:rsidR="00046510" w:rsidRDefault="00046510" w:rsidP="00612F66">
            <w:pPr>
              <w:rPr>
                <w:b/>
              </w:rPr>
            </w:pPr>
            <w:r>
              <w:rPr>
                <w:b/>
              </w:rPr>
              <w:t>L2.3</w:t>
            </w:r>
          </w:p>
        </w:tc>
        <w:tc>
          <w:tcPr>
            <w:tcW w:w="1654" w:type="dxa"/>
            <w:vMerge w:val="restart"/>
          </w:tcPr>
          <w:p w14:paraId="366BED50" w14:textId="77777777" w:rsidR="00046510" w:rsidRDefault="00046510" w:rsidP="00612F66">
            <w:pPr>
              <w:rPr>
                <w:b/>
              </w:rPr>
            </w:pPr>
            <w:r w:rsidRPr="00504C8A">
              <w:rPr>
                <w:b/>
              </w:rPr>
              <w:t>Oversight and visibility</w:t>
            </w:r>
          </w:p>
        </w:tc>
        <w:tc>
          <w:tcPr>
            <w:tcW w:w="4394" w:type="dxa"/>
          </w:tcPr>
          <w:p w14:paraId="657BD6CC" w14:textId="77777777" w:rsidR="00046510" w:rsidRDefault="00046510" w:rsidP="00612F66">
            <w:pPr>
              <w:rPr>
                <w:b/>
              </w:rPr>
            </w:pPr>
            <w:r>
              <w:rPr>
                <w:b/>
              </w:rPr>
              <w:t>Informal:</w:t>
            </w:r>
            <w:r>
              <w:t xml:space="preserve"> </w:t>
            </w:r>
            <w:r w:rsidR="007F7009" w:rsidRPr="007F7009">
              <w:t>Privacy activities are ad hoc or reactive.</w:t>
            </w:r>
          </w:p>
        </w:tc>
        <w:tc>
          <w:tcPr>
            <w:tcW w:w="1401" w:type="dxa"/>
            <w:vMerge w:val="restart"/>
          </w:tcPr>
          <w:p w14:paraId="5AEC4DEA" w14:textId="77777777" w:rsidR="00046510" w:rsidRPr="00DE51C7" w:rsidRDefault="00046510" w:rsidP="00612F66">
            <w:pPr>
              <w:jc w:val="center"/>
            </w:pPr>
            <w:r w:rsidRPr="00DE51C7">
              <w:rPr>
                <w:highlight w:val="yellow"/>
              </w:rPr>
              <w:t>Type rating here</w:t>
            </w:r>
          </w:p>
        </w:tc>
      </w:tr>
      <w:tr w:rsidR="00046510" w14:paraId="251FDB1E" w14:textId="77777777" w:rsidTr="00D2481E">
        <w:trPr>
          <w:cantSplit w:val="0"/>
        </w:trPr>
        <w:tc>
          <w:tcPr>
            <w:tcW w:w="1484" w:type="dxa"/>
            <w:vMerge/>
          </w:tcPr>
          <w:p w14:paraId="638D6F2F" w14:textId="77777777" w:rsidR="00046510" w:rsidRDefault="00046510" w:rsidP="00612F66">
            <w:pPr>
              <w:jc w:val="center"/>
              <w:rPr>
                <w:b/>
              </w:rPr>
            </w:pPr>
          </w:p>
        </w:tc>
        <w:tc>
          <w:tcPr>
            <w:tcW w:w="1654" w:type="dxa"/>
            <w:vMerge/>
          </w:tcPr>
          <w:p w14:paraId="43EF46AD" w14:textId="77777777" w:rsidR="00046510" w:rsidRDefault="00046510" w:rsidP="00612F66">
            <w:pPr>
              <w:rPr>
                <w:b/>
              </w:rPr>
            </w:pPr>
          </w:p>
        </w:tc>
        <w:tc>
          <w:tcPr>
            <w:tcW w:w="4394" w:type="dxa"/>
          </w:tcPr>
          <w:p w14:paraId="4D772434" w14:textId="77777777" w:rsidR="00046510" w:rsidRDefault="007F7009" w:rsidP="00612F66">
            <w:pPr>
              <w:rPr>
                <w:b/>
              </w:rPr>
            </w:pPr>
            <w:r>
              <w:rPr>
                <w:b/>
              </w:rPr>
              <w:t>Foundational</w:t>
            </w:r>
            <w:r w:rsidR="00046510">
              <w:rPr>
                <w:b/>
              </w:rPr>
              <w:t xml:space="preserve">: </w:t>
            </w:r>
            <w:r w:rsidRPr="007F7009">
              <w:t>Because privacy objectives are planned at the individual initiative level, the privacy officer or team does not have sufficient visibility and oversight of the initiatives that need to deliver privacy objectives.</w:t>
            </w:r>
          </w:p>
        </w:tc>
        <w:tc>
          <w:tcPr>
            <w:tcW w:w="1401" w:type="dxa"/>
            <w:vMerge/>
          </w:tcPr>
          <w:p w14:paraId="6EB4B20F" w14:textId="77777777" w:rsidR="00046510" w:rsidRDefault="00046510" w:rsidP="00612F66">
            <w:pPr>
              <w:rPr>
                <w:b/>
              </w:rPr>
            </w:pPr>
          </w:p>
        </w:tc>
      </w:tr>
      <w:tr w:rsidR="00046510" w14:paraId="0B220C22" w14:textId="77777777" w:rsidTr="00D2481E">
        <w:trPr>
          <w:cantSplit w:val="0"/>
        </w:trPr>
        <w:tc>
          <w:tcPr>
            <w:tcW w:w="1484" w:type="dxa"/>
            <w:vMerge/>
          </w:tcPr>
          <w:p w14:paraId="5225D681" w14:textId="77777777" w:rsidR="00046510" w:rsidRDefault="00046510" w:rsidP="00612F66">
            <w:pPr>
              <w:rPr>
                <w:b/>
              </w:rPr>
            </w:pPr>
          </w:p>
        </w:tc>
        <w:tc>
          <w:tcPr>
            <w:tcW w:w="1654" w:type="dxa"/>
            <w:vMerge/>
          </w:tcPr>
          <w:p w14:paraId="10A2ED15" w14:textId="77777777" w:rsidR="00046510" w:rsidRDefault="00046510" w:rsidP="00612F66">
            <w:pPr>
              <w:rPr>
                <w:b/>
              </w:rPr>
            </w:pPr>
          </w:p>
        </w:tc>
        <w:tc>
          <w:tcPr>
            <w:tcW w:w="4394" w:type="dxa"/>
          </w:tcPr>
          <w:p w14:paraId="556DE66A" w14:textId="77777777" w:rsidR="00046510" w:rsidRDefault="00046510" w:rsidP="00612F66">
            <w:pPr>
              <w:rPr>
                <w:b/>
              </w:rPr>
            </w:pPr>
            <w:r>
              <w:rPr>
                <w:b/>
              </w:rPr>
              <w:t xml:space="preserve">Managed: </w:t>
            </w:r>
            <w:r w:rsidR="007F7009" w:rsidRPr="007F7009">
              <w:t>The privacy officer or team oversees the privacy work programme, maintains central oversight of privacy initiatives and activities on an agency-wide basis, communicates regularly with other related functions (for example, information management, security, risk management), and has clear alignment (where applicable) with their work programmes.</w:t>
            </w:r>
          </w:p>
        </w:tc>
        <w:tc>
          <w:tcPr>
            <w:tcW w:w="1401" w:type="dxa"/>
            <w:vMerge/>
          </w:tcPr>
          <w:p w14:paraId="742D5BA7" w14:textId="77777777" w:rsidR="00046510" w:rsidRDefault="00046510" w:rsidP="00612F66">
            <w:pPr>
              <w:rPr>
                <w:b/>
              </w:rPr>
            </w:pPr>
          </w:p>
        </w:tc>
      </w:tr>
      <w:tr w:rsidR="00AE3790" w14:paraId="6B40907C" w14:textId="77777777" w:rsidTr="00DE51C7">
        <w:trPr>
          <w:cantSplit w:val="0"/>
        </w:trPr>
        <w:tc>
          <w:tcPr>
            <w:tcW w:w="1484" w:type="dxa"/>
          </w:tcPr>
          <w:p w14:paraId="34382E92" w14:textId="77777777" w:rsidR="00AE3790" w:rsidRDefault="00AE3790" w:rsidP="00AE3790">
            <w:pPr>
              <w:rPr>
                <w:b/>
              </w:rPr>
            </w:pPr>
            <w:r>
              <w:rPr>
                <w:b/>
              </w:rPr>
              <w:t>Context</w:t>
            </w:r>
            <w:r w:rsidRPr="00E93801">
              <w:rPr>
                <w:b/>
              </w:rPr>
              <w:t>:</w:t>
            </w:r>
          </w:p>
        </w:tc>
        <w:tc>
          <w:tcPr>
            <w:tcW w:w="7449" w:type="dxa"/>
            <w:gridSpan w:val="3"/>
          </w:tcPr>
          <w:p w14:paraId="6A5F760C" w14:textId="784E5951" w:rsidR="00DE51C7" w:rsidRPr="00D73E5B" w:rsidRDefault="00DE51C7" w:rsidP="00AE3790">
            <w:r w:rsidRPr="004B205D">
              <w:rPr>
                <w:highlight w:val="yellow"/>
              </w:rPr>
              <w:t>(insert comment here)</w:t>
            </w:r>
          </w:p>
        </w:tc>
      </w:tr>
      <w:tr w:rsidR="00AE3790" w14:paraId="4CA9C997" w14:textId="77777777" w:rsidTr="00DE51C7">
        <w:trPr>
          <w:cantSplit w:val="0"/>
        </w:trPr>
        <w:tc>
          <w:tcPr>
            <w:tcW w:w="1484" w:type="dxa"/>
          </w:tcPr>
          <w:p w14:paraId="26F3D4FE" w14:textId="77777777" w:rsidR="00AE3790" w:rsidRDefault="00AE3790" w:rsidP="00AE3790">
            <w:pPr>
              <w:rPr>
                <w:b/>
              </w:rPr>
            </w:pPr>
            <w:r>
              <w:rPr>
                <w:b/>
              </w:rPr>
              <w:t>Achievement:</w:t>
            </w:r>
          </w:p>
        </w:tc>
        <w:tc>
          <w:tcPr>
            <w:tcW w:w="7449" w:type="dxa"/>
            <w:gridSpan w:val="3"/>
          </w:tcPr>
          <w:p w14:paraId="733ED622" w14:textId="77777777" w:rsidR="00AE3790" w:rsidRPr="004B205D" w:rsidRDefault="00AE3790" w:rsidP="00AE3790">
            <w:pPr>
              <w:rPr>
                <w:highlight w:val="yellow"/>
              </w:rPr>
            </w:pPr>
            <w:r w:rsidRPr="004B205D">
              <w:rPr>
                <w:highlight w:val="yellow"/>
              </w:rPr>
              <w:t>(insert comment here)</w:t>
            </w:r>
          </w:p>
        </w:tc>
      </w:tr>
      <w:tr w:rsidR="00AE3790" w14:paraId="2621FD14" w14:textId="77777777" w:rsidTr="00DE51C7">
        <w:trPr>
          <w:cantSplit w:val="0"/>
        </w:trPr>
        <w:tc>
          <w:tcPr>
            <w:tcW w:w="1484" w:type="dxa"/>
          </w:tcPr>
          <w:p w14:paraId="28A78DC8" w14:textId="77777777" w:rsidR="00AE3790" w:rsidRDefault="00AE3790" w:rsidP="00AE3790">
            <w:pPr>
              <w:rPr>
                <w:b/>
              </w:rPr>
            </w:pPr>
            <w:r>
              <w:rPr>
                <w:b/>
              </w:rPr>
              <w:t>Future focus:</w:t>
            </w:r>
          </w:p>
        </w:tc>
        <w:tc>
          <w:tcPr>
            <w:tcW w:w="7449" w:type="dxa"/>
            <w:gridSpan w:val="3"/>
          </w:tcPr>
          <w:p w14:paraId="3EF70906" w14:textId="77777777" w:rsidR="00AE3790" w:rsidRPr="004B205D" w:rsidRDefault="00AE3790" w:rsidP="00AE3790">
            <w:pPr>
              <w:rPr>
                <w:highlight w:val="yellow"/>
              </w:rPr>
            </w:pPr>
            <w:r w:rsidRPr="004B205D">
              <w:rPr>
                <w:highlight w:val="yellow"/>
              </w:rPr>
              <w:t>(insert comment here)</w:t>
            </w:r>
          </w:p>
        </w:tc>
      </w:tr>
      <w:tr w:rsidR="00AE3790" w14:paraId="2A490735" w14:textId="77777777" w:rsidTr="00DE51C7">
        <w:trPr>
          <w:cantSplit w:val="0"/>
        </w:trPr>
        <w:tc>
          <w:tcPr>
            <w:tcW w:w="1484" w:type="dxa"/>
          </w:tcPr>
          <w:p w14:paraId="00F6B033" w14:textId="77777777" w:rsidR="00AE3790" w:rsidRDefault="00AE3790" w:rsidP="00AE3790">
            <w:pPr>
              <w:rPr>
                <w:b/>
              </w:rPr>
            </w:pPr>
            <w:r>
              <w:rPr>
                <w:b/>
              </w:rPr>
              <w:t>Challenge:</w:t>
            </w:r>
          </w:p>
        </w:tc>
        <w:tc>
          <w:tcPr>
            <w:tcW w:w="7449" w:type="dxa"/>
            <w:gridSpan w:val="3"/>
          </w:tcPr>
          <w:p w14:paraId="12D25664" w14:textId="77777777" w:rsidR="00AE3790" w:rsidRPr="004B205D" w:rsidRDefault="00AE3790" w:rsidP="00AE3790">
            <w:pPr>
              <w:rPr>
                <w:highlight w:val="yellow"/>
              </w:rPr>
            </w:pPr>
            <w:r w:rsidRPr="004B205D">
              <w:rPr>
                <w:highlight w:val="yellow"/>
              </w:rPr>
              <w:t>(insert comment here)</w:t>
            </w:r>
          </w:p>
        </w:tc>
      </w:tr>
    </w:tbl>
    <w:p w14:paraId="4EA6492B" w14:textId="77777777" w:rsidR="00975C63" w:rsidRDefault="00975C63">
      <w:pPr>
        <w:keepLines w:val="0"/>
        <w:rPr>
          <w:b/>
        </w:rPr>
      </w:pPr>
    </w:p>
    <w:tbl>
      <w:tblPr>
        <w:tblStyle w:val="DIATable"/>
        <w:tblW w:w="8933" w:type="dxa"/>
        <w:tblLayout w:type="fixed"/>
        <w:tblLook w:val="04A0" w:firstRow="1" w:lastRow="0" w:firstColumn="1" w:lastColumn="0" w:noHBand="0" w:noVBand="1"/>
      </w:tblPr>
      <w:tblGrid>
        <w:gridCol w:w="1484"/>
        <w:gridCol w:w="1654"/>
        <w:gridCol w:w="4394"/>
        <w:gridCol w:w="1401"/>
      </w:tblGrid>
      <w:tr w:rsidR="00612F66" w14:paraId="4973838A" w14:textId="77777777" w:rsidTr="00DE51C7">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009900"/>
          </w:tcPr>
          <w:p w14:paraId="5C51CEB3" w14:textId="77777777" w:rsidR="00612F66" w:rsidRPr="00A10695" w:rsidRDefault="00612F66" w:rsidP="00B519CB">
            <w:r>
              <w:lastRenderedPageBreak/>
              <w:t>Leadership 3</w:t>
            </w:r>
            <w:r w:rsidRPr="00D73E5B">
              <w:t xml:space="preserve">: </w:t>
            </w:r>
            <w:r w:rsidRPr="00504C8A">
              <w:t>Confidence in organisational progress through appropriate monitoring and assurance practices.</w:t>
            </w:r>
          </w:p>
        </w:tc>
      </w:tr>
      <w:tr w:rsidR="00046510" w14:paraId="6A705277" w14:textId="77777777" w:rsidTr="00D2481E">
        <w:trPr>
          <w:cantSplit w:val="0"/>
        </w:trPr>
        <w:tc>
          <w:tcPr>
            <w:tcW w:w="1484" w:type="dxa"/>
            <w:vMerge w:val="restart"/>
            <w:shd w:val="clear" w:color="auto" w:fill="auto"/>
          </w:tcPr>
          <w:p w14:paraId="6F8A2F27" w14:textId="77777777" w:rsidR="00046510" w:rsidRDefault="00046510" w:rsidP="00612F66">
            <w:pPr>
              <w:rPr>
                <w:b/>
              </w:rPr>
            </w:pPr>
            <w:r>
              <w:rPr>
                <w:b/>
              </w:rPr>
              <w:t>L3.1</w:t>
            </w:r>
          </w:p>
        </w:tc>
        <w:tc>
          <w:tcPr>
            <w:tcW w:w="1654" w:type="dxa"/>
            <w:vMerge w:val="restart"/>
            <w:shd w:val="clear" w:color="auto" w:fill="auto"/>
          </w:tcPr>
          <w:p w14:paraId="233FEC32" w14:textId="77777777" w:rsidR="00046510" w:rsidRDefault="00046510" w:rsidP="00612F66">
            <w:pPr>
              <w:rPr>
                <w:b/>
              </w:rPr>
            </w:pPr>
            <w:r w:rsidRPr="00504C8A">
              <w:rPr>
                <w:b/>
              </w:rPr>
              <w:t>Privacy and assurance</w:t>
            </w:r>
          </w:p>
        </w:tc>
        <w:tc>
          <w:tcPr>
            <w:tcW w:w="4394" w:type="dxa"/>
            <w:shd w:val="clear" w:color="auto" w:fill="auto"/>
          </w:tcPr>
          <w:p w14:paraId="66550BE9" w14:textId="77777777" w:rsidR="00046510" w:rsidRPr="005D36E7" w:rsidRDefault="00046510" w:rsidP="00CA0554">
            <w:pPr>
              <w:rPr>
                <w:b/>
              </w:rPr>
            </w:pPr>
            <w:r w:rsidRPr="007F7009">
              <w:rPr>
                <w:b/>
              </w:rPr>
              <w:t xml:space="preserve">Informal: </w:t>
            </w:r>
            <w:r w:rsidR="007F7009" w:rsidRPr="007F7009">
              <w:t>The privacy risk ownership and responsibilities are reactive and ad hoc. Some controls are functioning to enable timely risk management. The governance group does not have assurance reviews about its controls and risk management processes.</w:t>
            </w:r>
          </w:p>
        </w:tc>
        <w:tc>
          <w:tcPr>
            <w:tcW w:w="1401" w:type="dxa"/>
            <w:vMerge w:val="restart"/>
            <w:shd w:val="clear" w:color="auto" w:fill="auto"/>
          </w:tcPr>
          <w:p w14:paraId="67B6CA00" w14:textId="1514F411" w:rsidR="00B50116" w:rsidRPr="00DE51C7" w:rsidRDefault="00046510" w:rsidP="00B50116">
            <w:pPr>
              <w:jc w:val="center"/>
            </w:pPr>
            <w:r w:rsidRPr="00DE51C7">
              <w:rPr>
                <w:highlight w:val="yellow"/>
              </w:rPr>
              <w:t>Type rating here</w:t>
            </w:r>
          </w:p>
        </w:tc>
      </w:tr>
      <w:tr w:rsidR="00046510" w14:paraId="6D4096AE" w14:textId="77777777" w:rsidTr="00D2481E">
        <w:trPr>
          <w:cantSplit w:val="0"/>
        </w:trPr>
        <w:tc>
          <w:tcPr>
            <w:tcW w:w="1484" w:type="dxa"/>
            <w:vMerge/>
            <w:shd w:val="clear" w:color="auto" w:fill="auto"/>
          </w:tcPr>
          <w:p w14:paraId="721891B8" w14:textId="77777777" w:rsidR="00046510" w:rsidRDefault="00046510" w:rsidP="00612F66">
            <w:pPr>
              <w:jc w:val="center"/>
              <w:rPr>
                <w:b/>
              </w:rPr>
            </w:pPr>
          </w:p>
        </w:tc>
        <w:tc>
          <w:tcPr>
            <w:tcW w:w="1654" w:type="dxa"/>
            <w:vMerge/>
            <w:shd w:val="clear" w:color="auto" w:fill="auto"/>
          </w:tcPr>
          <w:p w14:paraId="339B2EAA" w14:textId="77777777" w:rsidR="00046510" w:rsidRDefault="00046510" w:rsidP="00612F66">
            <w:pPr>
              <w:rPr>
                <w:b/>
              </w:rPr>
            </w:pPr>
          </w:p>
        </w:tc>
        <w:tc>
          <w:tcPr>
            <w:tcW w:w="4394" w:type="dxa"/>
            <w:shd w:val="clear" w:color="auto" w:fill="auto"/>
          </w:tcPr>
          <w:p w14:paraId="6359FC1C" w14:textId="77777777" w:rsidR="00046510" w:rsidRPr="005D36E7" w:rsidRDefault="007F7009" w:rsidP="005D36E7">
            <w:pPr>
              <w:rPr>
                <w:b/>
              </w:rPr>
            </w:pPr>
            <w:r>
              <w:rPr>
                <w:b/>
              </w:rPr>
              <w:t>Foundational</w:t>
            </w:r>
            <w:r w:rsidR="00046510" w:rsidRPr="007F7009">
              <w:rPr>
                <w:b/>
              </w:rPr>
              <w:t>:</w:t>
            </w:r>
            <w:r w:rsidR="00046510" w:rsidRPr="005D36E7">
              <w:rPr>
                <w:b/>
                <w:sz w:val="24"/>
              </w:rPr>
              <w:t xml:space="preserve"> </w:t>
            </w:r>
            <w:r w:rsidRPr="007F7009">
              <w:t>The privacy risk ownership and responsibilities are defined in documented practices and processes. The risk management protocols are applied by individual initiatives or teams. The governance group relies on periodic assurance reviews to provide confidence on its controls and risk management processes.</w:t>
            </w:r>
          </w:p>
        </w:tc>
        <w:tc>
          <w:tcPr>
            <w:tcW w:w="1401" w:type="dxa"/>
            <w:vMerge/>
            <w:shd w:val="clear" w:color="auto" w:fill="auto"/>
          </w:tcPr>
          <w:p w14:paraId="0E299B89" w14:textId="77777777" w:rsidR="00046510" w:rsidRDefault="00046510" w:rsidP="00612F66">
            <w:pPr>
              <w:rPr>
                <w:b/>
              </w:rPr>
            </w:pPr>
          </w:p>
        </w:tc>
      </w:tr>
      <w:tr w:rsidR="00046510" w14:paraId="1DA631E9" w14:textId="77777777" w:rsidTr="00D2481E">
        <w:trPr>
          <w:cantSplit w:val="0"/>
        </w:trPr>
        <w:tc>
          <w:tcPr>
            <w:tcW w:w="1484" w:type="dxa"/>
            <w:vMerge/>
            <w:shd w:val="clear" w:color="auto" w:fill="auto"/>
          </w:tcPr>
          <w:p w14:paraId="61E18F17" w14:textId="77777777" w:rsidR="00046510" w:rsidRDefault="00046510" w:rsidP="00612F66">
            <w:pPr>
              <w:rPr>
                <w:b/>
              </w:rPr>
            </w:pPr>
          </w:p>
        </w:tc>
        <w:tc>
          <w:tcPr>
            <w:tcW w:w="1654" w:type="dxa"/>
            <w:vMerge/>
            <w:shd w:val="clear" w:color="auto" w:fill="auto"/>
          </w:tcPr>
          <w:p w14:paraId="253B4531" w14:textId="77777777" w:rsidR="00046510" w:rsidRDefault="00046510" w:rsidP="00612F66">
            <w:pPr>
              <w:rPr>
                <w:b/>
              </w:rPr>
            </w:pPr>
          </w:p>
        </w:tc>
        <w:tc>
          <w:tcPr>
            <w:tcW w:w="4394" w:type="dxa"/>
            <w:shd w:val="clear" w:color="auto" w:fill="auto"/>
          </w:tcPr>
          <w:p w14:paraId="6DDA287D" w14:textId="77777777" w:rsidR="007F7009" w:rsidRDefault="00046510" w:rsidP="007F7009">
            <w:r>
              <w:rPr>
                <w:b/>
              </w:rPr>
              <w:t xml:space="preserve">Managed: </w:t>
            </w:r>
            <w:r w:rsidR="007F7009">
              <w:t>Well-functioning controls and assurance mechanisms are in place to enable the ongoing monitoring of privacy risk. The existing systems and processes make it easy to identify a privacy risk early and escalate it in real time to be able to proactively mitigate risk.</w:t>
            </w:r>
          </w:p>
          <w:p w14:paraId="65502C62" w14:textId="77777777" w:rsidR="00046510" w:rsidRPr="005D36E7" w:rsidRDefault="007F7009" w:rsidP="00CA0554">
            <w:pPr>
              <w:rPr>
                <w:b/>
              </w:rPr>
            </w:pPr>
            <w:r w:rsidRPr="007F7009">
              <w:t>The agency has a controlled and measured assurance environment that allows it to continuously learn and refine its internal practices. The governance group is reasonably confident in the agency’s privacy risk management.</w:t>
            </w:r>
          </w:p>
        </w:tc>
        <w:tc>
          <w:tcPr>
            <w:tcW w:w="1401" w:type="dxa"/>
            <w:vMerge/>
            <w:shd w:val="clear" w:color="auto" w:fill="auto"/>
          </w:tcPr>
          <w:p w14:paraId="4FC397DF" w14:textId="77777777" w:rsidR="00046510" w:rsidRDefault="00046510" w:rsidP="00612F66">
            <w:pPr>
              <w:rPr>
                <w:b/>
              </w:rPr>
            </w:pPr>
          </w:p>
        </w:tc>
      </w:tr>
      <w:tr w:rsidR="00AE3790" w14:paraId="46D3ABB9" w14:textId="77777777" w:rsidTr="00DE51C7">
        <w:trPr>
          <w:cantSplit w:val="0"/>
        </w:trPr>
        <w:tc>
          <w:tcPr>
            <w:tcW w:w="1484" w:type="dxa"/>
          </w:tcPr>
          <w:p w14:paraId="0BD580B4" w14:textId="77777777" w:rsidR="00AE3790" w:rsidRDefault="00AE3790" w:rsidP="00AE3790">
            <w:pPr>
              <w:rPr>
                <w:b/>
              </w:rPr>
            </w:pPr>
            <w:r>
              <w:rPr>
                <w:b/>
              </w:rPr>
              <w:t>Context</w:t>
            </w:r>
            <w:r w:rsidRPr="00E93801">
              <w:rPr>
                <w:b/>
              </w:rPr>
              <w:t>:</w:t>
            </w:r>
          </w:p>
        </w:tc>
        <w:tc>
          <w:tcPr>
            <w:tcW w:w="7449" w:type="dxa"/>
            <w:gridSpan w:val="3"/>
          </w:tcPr>
          <w:p w14:paraId="18B730B1" w14:textId="77777777" w:rsidR="00AE3790" w:rsidRPr="00D73E5B" w:rsidRDefault="00AE3790" w:rsidP="00AE3790">
            <w:r w:rsidRPr="004B205D">
              <w:rPr>
                <w:highlight w:val="yellow"/>
              </w:rPr>
              <w:t>(insert comment here)</w:t>
            </w:r>
          </w:p>
        </w:tc>
      </w:tr>
      <w:tr w:rsidR="00AE3790" w14:paraId="2DB829C3" w14:textId="77777777" w:rsidTr="00DE51C7">
        <w:trPr>
          <w:cantSplit w:val="0"/>
        </w:trPr>
        <w:tc>
          <w:tcPr>
            <w:tcW w:w="1484" w:type="dxa"/>
          </w:tcPr>
          <w:p w14:paraId="416FC59A" w14:textId="77777777" w:rsidR="00AE3790" w:rsidRDefault="00AE3790" w:rsidP="00AE3790">
            <w:pPr>
              <w:rPr>
                <w:b/>
              </w:rPr>
            </w:pPr>
            <w:r>
              <w:rPr>
                <w:b/>
              </w:rPr>
              <w:t>Achievement:</w:t>
            </w:r>
          </w:p>
        </w:tc>
        <w:tc>
          <w:tcPr>
            <w:tcW w:w="7449" w:type="dxa"/>
            <w:gridSpan w:val="3"/>
          </w:tcPr>
          <w:p w14:paraId="77FC8646" w14:textId="77777777" w:rsidR="00AE3790" w:rsidRPr="004B205D" w:rsidRDefault="00AE3790" w:rsidP="00AE3790">
            <w:pPr>
              <w:rPr>
                <w:highlight w:val="yellow"/>
              </w:rPr>
            </w:pPr>
            <w:r w:rsidRPr="004B205D">
              <w:rPr>
                <w:highlight w:val="yellow"/>
              </w:rPr>
              <w:t>(insert comment here)</w:t>
            </w:r>
          </w:p>
        </w:tc>
      </w:tr>
      <w:tr w:rsidR="00AE3790" w14:paraId="357BA47A" w14:textId="77777777" w:rsidTr="00DE51C7">
        <w:trPr>
          <w:cantSplit w:val="0"/>
        </w:trPr>
        <w:tc>
          <w:tcPr>
            <w:tcW w:w="1484" w:type="dxa"/>
          </w:tcPr>
          <w:p w14:paraId="0D26DAE9" w14:textId="77777777" w:rsidR="00AE3790" w:rsidRDefault="00AE3790" w:rsidP="00AE3790">
            <w:pPr>
              <w:rPr>
                <w:b/>
              </w:rPr>
            </w:pPr>
            <w:r>
              <w:rPr>
                <w:b/>
              </w:rPr>
              <w:t>Future focus:</w:t>
            </w:r>
          </w:p>
        </w:tc>
        <w:tc>
          <w:tcPr>
            <w:tcW w:w="7449" w:type="dxa"/>
            <w:gridSpan w:val="3"/>
          </w:tcPr>
          <w:p w14:paraId="26A8D18C" w14:textId="77777777" w:rsidR="00AE3790" w:rsidRPr="004B205D" w:rsidRDefault="00AE3790" w:rsidP="00AE3790">
            <w:pPr>
              <w:rPr>
                <w:highlight w:val="yellow"/>
              </w:rPr>
            </w:pPr>
            <w:r w:rsidRPr="004B205D">
              <w:rPr>
                <w:highlight w:val="yellow"/>
              </w:rPr>
              <w:t>(insert comment here)</w:t>
            </w:r>
          </w:p>
        </w:tc>
      </w:tr>
      <w:tr w:rsidR="00AE3790" w14:paraId="1532AD05" w14:textId="77777777" w:rsidTr="00DE51C7">
        <w:trPr>
          <w:cantSplit w:val="0"/>
        </w:trPr>
        <w:tc>
          <w:tcPr>
            <w:tcW w:w="1484" w:type="dxa"/>
          </w:tcPr>
          <w:p w14:paraId="6361B422" w14:textId="77777777" w:rsidR="00AE3790" w:rsidRDefault="00AE3790" w:rsidP="00AE3790">
            <w:pPr>
              <w:rPr>
                <w:b/>
              </w:rPr>
            </w:pPr>
            <w:r>
              <w:rPr>
                <w:b/>
              </w:rPr>
              <w:t>Challenge:</w:t>
            </w:r>
          </w:p>
        </w:tc>
        <w:tc>
          <w:tcPr>
            <w:tcW w:w="7449" w:type="dxa"/>
            <w:gridSpan w:val="3"/>
          </w:tcPr>
          <w:p w14:paraId="3648780F" w14:textId="77777777" w:rsidR="00AE3790" w:rsidRPr="004B205D" w:rsidRDefault="00AE3790" w:rsidP="00AE3790">
            <w:pPr>
              <w:rPr>
                <w:highlight w:val="yellow"/>
              </w:rPr>
            </w:pPr>
            <w:r w:rsidRPr="004B205D">
              <w:rPr>
                <w:highlight w:val="yellow"/>
              </w:rPr>
              <w:t>(insert comment here)</w:t>
            </w:r>
          </w:p>
        </w:tc>
      </w:tr>
    </w:tbl>
    <w:p w14:paraId="54245CED" w14:textId="77777777" w:rsidR="00D9695C" w:rsidRDefault="00D9695C">
      <w:pPr>
        <w:keepLines w:val="0"/>
        <w:rPr>
          <w:b/>
        </w:rPr>
      </w:pPr>
      <w:r>
        <w:rPr>
          <w:b/>
        </w:rPr>
        <w:br w:type="page"/>
      </w:r>
    </w:p>
    <w:p w14:paraId="120DCE36" w14:textId="77777777" w:rsidR="009B529C" w:rsidRPr="00EF4E8F" w:rsidRDefault="009B529C" w:rsidP="00EF4E8F">
      <w:pPr>
        <w:pStyle w:val="Heading1"/>
        <w:rPr>
          <w:rFonts w:asciiTheme="minorHAnsi" w:hAnsiTheme="minorHAnsi"/>
          <w:color w:val="1F546B"/>
          <w:sz w:val="40"/>
        </w:rPr>
      </w:pPr>
      <w:r w:rsidRPr="00EF4E8F">
        <w:rPr>
          <w:rFonts w:asciiTheme="minorHAnsi" w:hAnsiTheme="minorHAnsi"/>
          <w:color w:val="1F546B"/>
          <w:sz w:val="40"/>
        </w:rPr>
        <w:lastRenderedPageBreak/>
        <w:t>Planning, policies and practice</w:t>
      </w:r>
    </w:p>
    <w:p w14:paraId="36ACA67D" w14:textId="77777777" w:rsidR="009A78F2" w:rsidRPr="009A78F2" w:rsidRDefault="00E466D1" w:rsidP="009A78F2">
      <w:hyperlink r:id="rId31" w:history="1">
        <w:r w:rsidR="009A78F2" w:rsidRPr="009A78F2">
          <w:rPr>
            <w:rStyle w:val="Hyperlink"/>
          </w:rPr>
          <w:t>Planning, policies and practice guidance</w:t>
        </w:r>
      </w:hyperlink>
    </w:p>
    <w:tbl>
      <w:tblPr>
        <w:tblStyle w:val="DIATable"/>
        <w:tblW w:w="0" w:type="auto"/>
        <w:tblLook w:val="04A0" w:firstRow="1" w:lastRow="0" w:firstColumn="1" w:lastColumn="0" w:noHBand="0" w:noVBand="1"/>
      </w:tblPr>
      <w:tblGrid>
        <w:gridCol w:w="1484"/>
        <w:gridCol w:w="1654"/>
        <w:gridCol w:w="4394"/>
        <w:gridCol w:w="1401"/>
      </w:tblGrid>
      <w:tr w:rsidR="00612F66" w14:paraId="630388D8" w14:textId="77777777" w:rsidTr="00612F66">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F06A22" w:themeFill="accent6"/>
          </w:tcPr>
          <w:p w14:paraId="187BDE15" w14:textId="77777777" w:rsidR="00612F66" w:rsidRDefault="00612F66" w:rsidP="00B519CB">
            <w:pPr>
              <w:rPr>
                <w:b w:val="0"/>
              </w:rPr>
            </w:pPr>
            <w:r w:rsidRPr="00D9695C">
              <w:t>Planning, policies and practice</w:t>
            </w:r>
            <w:r>
              <w:t xml:space="preserve"> 1</w:t>
            </w:r>
            <w:r w:rsidRPr="00D73E5B">
              <w:t xml:space="preserve">: </w:t>
            </w:r>
            <w:r w:rsidR="007F7009" w:rsidRPr="007F7009">
              <w:t>Formulate a privacy strategy, a roadmap to bring it to life and a work programme to achieve it.</w:t>
            </w:r>
          </w:p>
        </w:tc>
      </w:tr>
      <w:tr w:rsidR="00046510" w14:paraId="1C386ED7" w14:textId="77777777" w:rsidTr="00D2481E">
        <w:trPr>
          <w:cantSplit w:val="0"/>
        </w:trPr>
        <w:tc>
          <w:tcPr>
            <w:tcW w:w="1484" w:type="dxa"/>
            <w:vMerge w:val="restart"/>
          </w:tcPr>
          <w:p w14:paraId="19A5AFAC" w14:textId="77777777" w:rsidR="00046510" w:rsidRDefault="00046510" w:rsidP="00612F66">
            <w:pPr>
              <w:rPr>
                <w:b/>
              </w:rPr>
            </w:pPr>
            <w:r>
              <w:rPr>
                <w:b/>
              </w:rPr>
              <w:t>P1.1</w:t>
            </w:r>
          </w:p>
        </w:tc>
        <w:tc>
          <w:tcPr>
            <w:tcW w:w="1654" w:type="dxa"/>
            <w:vMerge w:val="restart"/>
          </w:tcPr>
          <w:p w14:paraId="04510DDD" w14:textId="77777777" w:rsidR="00046510" w:rsidRDefault="00046510" w:rsidP="00612F66">
            <w:pPr>
              <w:rPr>
                <w:b/>
              </w:rPr>
            </w:pPr>
            <w:r w:rsidRPr="00D9695C">
              <w:rPr>
                <w:b/>
              </w:rPr>
              <w:t>Planning</w:t>
            </w:r>
          </w:p>
        </w:tc>
        <w:tc>
          <w:tcPr>
            <w:tcW w:w="4394" w:type="dxa"/>
          </w:tcPr>
          <w:p w14:paraId="348D897D" w14:textId="77777777" w:rsidR="00046510" w:rsidRPr="005D36E7" w:rsidRDefault="00046510" w:rsidP="00612F66">
            <w:pPr>
              <w:rPr>
                <w:b/>
              </w:rPr>
            </w:pPr>
            <w:r>
              <w:rPr>
                <w:b/>
              </w:rPr>
              <w:t xml:space="preserve">Informal: </w:t>
            </w:r>
            <w:r w:rsidR="008B1E06" w:rsidRPr="008B1E06">
              <w:t>Privacy planning is ad hoc or reactive to specific events and incidents.</w:t>
            </w:r>
          </w:p>
        </w:tc>
        <w:tc>
          <w:tcPr>
            <w:tcW w:w="1401" w:type="dxa"/>
            <w:vMerge w:val="restart"/>
          </w:tcPr>
          <w:p w14:paraId="34E04EB6" w14:textId="77777777" w:rsidR="00046510" w:rsidRPr="00DE51C7" w:rsidRDefault="00046510" w:rsidP="00612F66">
            <w:pPr>
              <w:jc w:val="center"/>
            </w:pPr>
            <w:r w:rsidRPr="00DE51C7">
              <w:rPr>
                <w:highlight w:val="yellow"/>
              </w:rPr>
              <w:t>Type rating here</w:t>
            </w:r>
          </w:p>
        </w:tc>
      </w:tr>
      <w:tr w:rsidR="00046510" w14:paraId="77D440B5" w14:textId="77777777" w:rsidTr="00D2481E">
        <w:trPr>
          <w:cantSplit w:val="0"/>
        </w:trPr>
        <w:tc>
          <w:tcPr>
            <w:tcW w:w="1484" w:type="dxa"/>
            <w:vMerge/>
          </w:tcPr>
          <w:p w14:paraId="3C00F5F6" w14:textId="77777777" w:rsidR="00046510" w:rsidRDefault="00046510" w:rsidP="00612F66">
            <w:pPr>
              <w:jc w:val="center"/>
              <w:rPr>
                <w:b/>
              </w:rPr>
            </w:pPr>
          </w:p>
        </w:tc>
        <w:tc>
          <w:tcPr>
            <w:tcW w:w="1654" w:type="dxa"/>
            <w:vMerge/>
          </w:tcPr>
          <w:p w14:paraId="0BE8BFA1" w14:textId="77777777" w:rsidR="00046510" w:rsidRDefault="00046510" w:rsidP="00612F66">
            <w:pPr>
              <w:rPr>
                <w:b/>
              </w:rPr>
            </w:pPr>
          </w:p>
        </w:tc>
        <w:tc>
          <w:tcPr>
            <w:tcW w:w="4394" w:type="dxa"/>
          </w:tcPr>
          <w:p w14:paraId="7B0C2E1F" w14:textId="77777777" w:rsidR="00046510" w:rsidRDefault="00D5652E" w:rsidP="00612F66">
            <w:pPr>
              <w:rPr>
                <w:b/>
              </w:rPr>
            </w:pPr>
            <w:r>
              <w:rPr>
                <w:b/>
              </w:rPr>
              <w:t>Foundational</w:t>
            </w:r>
            <w:r w:rsidR="00046510">
              <w:rPr>
                <w:b/>
              </w:rPr>
              <w:t xml:space="preserve">: </w:t>
            </w:r>
            <w:r w:rsidR="008B1E06" w:rsidRPr="008B1E06">
              <w:t>Privacy planning is seen as the domain of the privacy officer or team with little or no connection to the rest of the organisation.</w:t>
            </w:r>
          </w:p>
        </w:tc>
        <w:tc>
          <w:tcPr>
            <w:tcW w:w="1401" w:type="dxa"/>
            <w:vMerge/>
          </w:tcPr>
          <w:p w14:paraId="1D5242AA" w14:textId="77777777" w:rsidR="00046510" w:rsidRPr="00DE51C7" w:rsidRDefault="00046510" w:rsidP="00612F66"/>
        </w:tc>
      </w:tr>
      <w:tr w:rsidR="00046510" w14:paraId="1586C3AC" w14:textId="77777777" w:rsidTr="00D2481E">
        <w:trPr>
          <w:cantSplit w:val="0"/>
        </w:trPr>
        <w:tc>
          <w:tcPr>
            <w:tcW w:w="1484" w:type="dxa"/>
            <w:vMerge/>
          </w:tcPr>
          <w:p w14:paraId="24C34E80" w14:textId="77777777" w:rsidR="00046510" w:rsidRDefault="00046510" w:rsidP="00612F66">
            <w:pPr>
              <w:rPr>
                <w:b/>
              </w:rPr>
            </w:pPr>
          </w:p>
        </w:tc>
        <w:tc>
          <w:tcPr>
            <w:tcW w:w="1654" w:type="dxa"/>
            <w:vMerge/>
          </w:tcPr>
          <w:p w14:paraId="73A749F5" w14:textId="77777777" w:rsidR="00046510" w:rsidRDefault="00046510" w:rsidP="00612F66">
            <w:pPr>
              <w:rPr>
                <w:b/>
              </w:rPr>
            </w:pPr>
          </w:p>
        </w:tc>
        <w:tc>
          <w:tcPr>
            <w:tcW w:w="4394" w:type="dxa"/>
          </w:tcPr>
          <w:p w14:paraId="73CD2473" w14:textId="77777777" w:rsidR="008B1E06" w:rsidRDefault="00046510" w:rsidP="008B1E06">
            <w:r>
              <w:rPr>
                <w:b/>
              </w:rPr>
              <w:t xml:space="preserve">Managed: </w:t>
            </w:r>
            <w:r w:rsidR="008B1E06">
              <w:t>Privacy planning:</w:t>
            </w:r>
          </w:p>
          <w:p w14:paraId="1FFC5813" w14:textId="77777777" w:rsidR="008B1E06" w:rsidRPr="008B1E06" w:rsidRDefault="008B1E06" w:rsidP="005D36E7">
            <w:pPr>
              <w:pStyle w:val="ListParagraph"/>
              <w:numPr>
                <w:ilvl w:val="0"/>
                <w:numId w:val="33"/>
              </w:numPr>
              <w:spacing w:before="56" w:after="32"/>
            </w:pPr>
            <w:r w:rsidRPr="008B1E06">
              <w:t>includes all areas of the agency</w:t>
            </w:r>
          </w:p>
          <w:p w14:paraId="2ECB93F7" w14:textId="77777777" w:rsidR="008B1E06" w:rsidRPr="008B1E06" w:rsidRDefault="008B1E06" w:rsidP="005D36E7">
            <w:pPr>
              <w:pStyle w:val="ListParagraph"/>
              <w:numPr>
                <w:ilvl w:val="0"/>
                <w:numId w:val="33"/>
              </w:numPr>
              <w:spacing w:before="56" w:after="32"/>
            </w:pPr>
            <w:r w:rsidRPr="008B1E06">
              <w:t>comprehensively addresses the collection, use, storage and security of personal information, and</w:t>
            </w:r>
          </w:p>
          <w:p w14:paraId="52F83402" w14:textId="77777777" w:rsidR="00046510" w:rsidRPr="008B1E06" w:rsidRDefault="008B1E06" w:rsidP="005D36E7">
            <w:pPr>
              <w:pStyle w:val="ListParagraph"/>
              <w:numPr>
                <w:ilvl w:val="0"/>
                <w:numId w:val="33"/>
              </w:numPr>
              <w:spacing w:before="56" w:after="32"/>
              <w:rPr>
                <w:b/>
              </w:rPr>
            </w:pPr>
            <w:r w:rsidRPr="008B1E06">
              <w:t>is flexible to accommodate changes either in the wider business environment or as the result of assurance activity.</w:t>
            </w:r>
          </w:p>
        </w:tc>
        <w:tc>
          <w:tcPr>
            <w:tcW w:w="1401" w:type="dxa"/>
            <w:vMerge/>
          </w:tcPr>
          <w:p w14:paraId="16F0234B" w14:textId="77777777" w:rsidR="00046510" w:rsidRPr="00DE51C7" w:rsidRDefault="00046510" w:rsidP="00612F66"/>
        </w:tc>
      </w:tr>
      <w:tr w:rsidR="00046510" w14:paraId="007B6729" w14:textId="77777777" w:rsidTr="00D2481E">
        <w:trPr>
          <w:cantSplit w:val="0"/>
        </w:trPr>
        <w:tc>
          <w:tcPr>
            <w:tcW w:w="1484" w:type="dxa"/>
            <w:vMerge w:val="restart"/>
          </w:tcPr>
          <w:p w14:paraId="6E0D65A3" w14:textId="77777777" w:rsidR="00046510" w:rsidRDefault="00046510" w:rsidP="00612F66">
            <w:pPr>
              <w:rPr>
                <w:b/>
              </w:rPr>
            </w:pPr>
            <w:r>
              <w:rPr>
                <w:b/>
              </w:rPr>
              <w:t>P1.2</w:t>
            </w:r>
          </w:p>
        </w:tc>
        <w:tc>
          <w:tcPr>
            <w:tcW w:w="1654" w:type="dxa"/>
            <w:vMerge w:val="restart"/>
          </w:tcPr>
          <w:p w14:paraId="13011B59" w14:textId="77777777" w:rsidR="00046510" w:rsidRDefault="00046510" w:rsidP="00612F66">
            <w:pPr>
              <w:rPr>
                <w:b/>
              </w:rPr>
            </w:pPr>
            <w:r w:rsidRPr="00D9695C">
              <w:rPr>
                <w:b/>
              </w:rPr>
              <w:t>Planning documents</w:t>
            </w:r>
          </w:p>
        </w:tc>
        <w:tc>
          <w:tcPr>
            <w:tcW w:w="4394" w:type="dxa"/>
          </w:tcPr>
          <w:p w14:paraId="2C82E5FF" w14:textId="77777777" w:rsidR="00046510" w:rsidRDefault="00046510" w:rsidP="00612F66">
            <w:pPr>
              <w:rPr>
                <w:b/>
              </w:rPr>
            </w:pPr>
            <w:r>
              <w:rPr>
                <w:b/>
              </w:rPr>
              <w:t xml:space="preserve">Informal: </w:t>
            </w:r>
            <w:r w:rsidR="008B1E06" w:rsidRPr="008B1E06">
              <w:t>The agency does not have privacy planning documents (for example, strategy, roadmap and work programme).</w:t>
            </w:r>
          </w:p>
        </w:tc>
        <w:tc>
          <w:tcPr>
            <w:tcW w:w="1401" w:type="dxa"/>
            <w:vMerge w:val="restart"/>
          </w:tcPr>
          <w:p w14:paraId="34BE381C" w14:textId="77777777" w:rsidR="00046510" w:rsidRPr="00DE51C7" w:rsidRDefault="00046510" w:rsidP="00612F66">
            <w:pPr>
              <w:jc w:val="center"/>
            </w:pPr>
            <w:r w:rsidRPr="00DE51C7">
              <w:rPr>
                <w:highlight w:val="yellow"/>
              </w:rPr>
              <w:t>Type rating here</w:t>
            </w:r>
          </w:p>
        </w:tc>
      </w:tr>
      <w:tr w:rsidR="00046510" w14:paraId="2A13381C" w14:textId="77777777" w:rsidTr="00D2481E">
        <w:trPr>
          <w:cantSplit w:val="0"/>
        </w:trPr>
        <w:tc>
          <w:tcPr>
            <w:tcW w:w="1484" w:type="dxa"/>
            <w:vMerge/>
          </w:tcPr>
          <w:p w14:paraId="19315355" w14:textId="77777777" w:rsidR="00046510" w:rsidRDefault="00046510" w:rsidP="00612F66">
            <w:pPr>
              <w:jc w:val="center"/>
              <w:rPr>
                <w:b/>
              </w:rPr>
            </w:pPr>
          </w:p>
        </w:tc>
        <w:tc>
          <w:tcPr>
            <w:tcW w:w="1654" w:type="dxa"/>
            <w:vMerge/>
          </w:tcPr>
          <w:p w14:paraId="1456A9A4" w14:textId="77777777" w:rsidR="00046510" w:rsidRDefault="00046510" w:rsidP="00612F66">
            <w:pPr>
              <w:rPr>
                <w:b/>
              </w:rPr>
            </w:pPr>
          </w:p>
        </w:tc>
        <w:tc>
          <w:tcPr>
            <w:tcW w:w="4394" w:type="dxa"/>
          </w:tcPr>
          <w:p w14:paraId="5BB6BBAD" w14:textId="77777777" w:rsidR="00046510" w:rsidRDefault="00D5652E" w:rsidP="00612F66">
            <w:pPr>
              <w:rPr>
                <w:b/>
              </w:rPr>
            </w:pPr>
            <w:r>
              <w:rPr>
                <w:b/>
              </w:rPr>
              <w:t>Foundational</w:t>
            </w:r>
            <w:r w:rsidR="00046510">
              <w:rPr>
                <w:b/>
              </w:rPr>
              <w:t xml:space="preserve">: </w:t>
            </w:r>
            <w:r w:rsidR="008B1E06" w:rsidRPr="008B1E06">
              <w:t>The agency has privacy planning documents (for example, strategy, roadmap and work programme) that are reviewed regularly.</w:t>
            </w:r>
          </w:p>
        </w:tc>
        <w:tc>
          <w:tcPr>
            <w:tcW w:w="1401" w:type="dxa"/>
            <w:vMerge/>
          </w:tcPr>
          <w:p w14:paraId="0C4ABBCC" w14:textId="77777777" w:rsidR="00046510" w:rsidRPr="00DE51C7" w:rsidRDefault="00046510" w:rsidP="00612F66"/>
        </w:tc>
      </w:tr>
      <w:tr w:rsidR="00046510" w14:paraId="0A526EA1" w14:textId="77777777" w:rsidTr="00D2481E">
        <w:trPr>
          <w:cantSplit w:val="0"/>
        </w:trPr>
        <w:tc>
          <w:tcPr>
            <w:tcW w:w="1484" w:type="dxa"/>
            <w:vMerge/>
          </w:tcPr>
          <w:p w14:paraId="3E5C4A16" w14:textId="77777777" w:rsidR="00046510" w:rsidRDefault="00046510" w:rsidP="00612F66">
            <w:pPr>
              <w:rPr>
                <w:b/>
              </w:rPr>
            </w:pPr>
          </w:p>
        </w:tc>
        <w:tc>
          <w:tcPr>
            <w:tcW w:w="1654" w:type="dxa"/>
            <w:vMerge/>
          </w:tcPr>
          <w:p w14:paraId="75930581" w14:textId="77777777" w:rsidR="00046510" w:rsidRDefault="00046510" w:rsidP="00612F66">
            <w:pPr>
              <w:rPr>
                <w:b/>
              </w:rPr>
            </w:pPr>
          </w:p>
        </w:tc>
        <w:tc>
          <w:tcPr>
            <w:tcW w:w="4394" w:type="dxa"/>
          </w:tcPr>
          <w:p w14:paraId="24472C10" w14:textId="77777777" w:rsidR="008B1E06" w:rsidRDefault="00046510" w:rsidP="008B1E06">
            <w:r>
              <w:rPr>
                <w:b/>
              </w:rPr>
              <w:t xml:space="preserve">Managed: </w:t>
            </w:r>
            <w:r w:rsidR="008B1E06">
              <w:t>Privacy planning documents (for example, a strategy, roadmap and work programme) are:</w:t>
            </w:r>
          </w:p>
          <w:p w14:paraId="59722193" w14:textId="77777777" w:rsidR="008B1E06" w:rsidRPr="008B1E06" w:rsidRDefault="008B1E06" w:rsidP="005D36E7">
            <w:pPr>
              <w:pStyle w:val="ListParagraph"/>
              <w:numPr>
                <w:ilvl w:val="0"/>
                <w:numId w:val="34"/>
              </w:numPr>
              <w:spacing w:before="56" w:after="32"/>
            </w:pPr>
            <w:r w:rsidRPr="008B1E06">
              <w:t>easy to understand</w:t>
            </w:r>
          </w:p>
          <w:p w14:paraId="0A7EF459" w14:textId="77777777" w:rsidR="008B1E06" w:rsidRPr="008B1E06" w:rsidRDefault="008B1E06" w:rsidP="005D36E7">
            <w:pPr>
              <w:pStyle w:val="ListParagraph"/>
              <w:numPr>
                <w:ilvl w:val="0"/>
                <w:numId w:val="34"/>
              </w:numPr>
              <w:spacing w:before="56" w:after="32"/>
            </w:pPr>
            <w:r w:rsidRPr="008B1E06">
              <w:t>communicated to those with relevant responsibilities, and</w:t>
            </w:r>
          </w:p>
          <w:p w14:paraId="4370BC0B" w14:textId="77777777" w:rsidR="00046510" w:rsidRPr="008B1E06" w:rsidRDefault="008B1E06" w:rsidP="005D36E7">
            <w:pPr>
              <w:pStyle w:val="ListParagraph"/>
              <w:numPr>
                <w:ilvl w:val="0"/>
                <w:numId w:val="34"/>
              </w:numPr>
              <w:spacing w:before="56" w:after="32"/>
              <w:rPr>
                <w:b/>
              </w:rPr>
            </w:pPr>
            <w:r w:rsidRPr="008B1E06">
              <w:t>reviewed regularly to ensure that they remain relevant and aligned with the agency’s organisational and system context (nature, scale and risk).</w:t>
            </w:r>
          </w:p>
        </w:tc>
        <w:tc>
          <w:tcPr>
            <w:tcW w:w="1401" w:type="dxa"/>
            <w:vMerge/>
          </w:tcPr>
          <w:p w14:paraId="56EAD74C" w14:textId="77777777" w:rsidR="00046510" w:rsidRPr="00DE51C7" w:rsidRDefault="00046510" w:rsidP="00612F66"/>
        </w:tc>
      </w:tr>
      <w:tr w:rsidR="00046510" w14:paraId="6BF3A7D9" w14:textId="77777777" w:rsidTr="00D2481E">
        <w:trPr>
          <w:cantSplit w:val="0"/>
        </w:trPr>
        <w:tc>
          <w:tcPr>
            <w:tcW w:w="1484" w:type="dxa"/>
            <w:vMerge w:val="restart"/>
          </w:tcPr>
          <w:p w14:paraId="176ADF2C" w14:textId="77777777" w:rsidR="00046510" w:rsidRDefault="00046510" w:rsidP="00612F66">
            <w:pPr>
              <w:rPr>
                <w:b/>
              </w:rPr>
            </w:pPr>
            <w:r>
              <w:rPr>
                <w:b/>
              </w:rPr>
              <w:t>P1.3</w:t>
            </w:r>
          </w:p>
        </w:tc>
        <w:tc>
          <w:tcPr>
            <w:tcW w:w="1654" w:type="dxa"/>
            <w:vMerge w:val="restart"/>
          </w:tcPr>
          <w:p w14:paraId="7A0055CD" w14:textId="77777777" w:rsidR="00046510" w:rsidRDefault="00046510" w:rsidP="00612F66">
            <w:pPr>
              <w:rPr>
                <w:b/>
              </w:rPr>
            </w:pPr>
            <w:r w:rsidRPr="00D9695C">
              <w:rPr>
                <w:b/>
              </w:rPr>
              <w:t>Reporting</w:t>
            </w:r>
          </w:p>
        </w:tc>
        <w:tc>
          <w:tcPr>
            <w:tcW w:w="4394" w:type="dxa"/>
          </w:tcPr>
          <w:p w14:paraId="79E889DD" w14:textId="77777777" w:rsidR="00046510" w:rsidRDefault="00046510" w:rsidP="00612F66">
            <w:pPr>
              <w:rPr>
                <w:b/>
              </w:rPr>
            </w:pPr>
            <w:r>
              <w:rPr>
                <w:b/>
              </w:rPr>
              <w:t>Informal:</w:t>
            </w:r>
            <w:r>
              <w:t xml:space="preserve"> </w:t>
            </w:r>
            <w:r w:rsidR="00D5652E" w:rsidRPr="00D5652E">
              <w:t>Reporting is ad hoc and is about specific events and incidents.</w:t>
            </w:r>
          </w:p>
        </w:tc>
        <w:tc>
          <w:tcPr>
            <w:tcW w:w="1401" w:type="dxa"/>
            <w:vMerge w:val="restart"/>
          </w:tcPr>
          <w:p w14:paraId="68FDCECE" w14:textId="77777777" w:rsidR="00046510" w:rsidRPr="00DE51C7" w:rsidRDefault="00046510" w:rsidP="00612F66">
            <w:pPr>
              <w:jc w:val="center"/>
            </w:pPr>
            <w:r w:rsidRPr="00DE51C7">
              <w:rPr>
                <w:highlight w:val="yellow"/>
              </w:rPr>
              <w:t>Type rating here</w:t>
            </w:r>
          </w:p>
        </w:tc>
      </w:tr>
      <w:tr w:rsidR="00046510" w14:paraId="0C4DD1E6" w14:textId="77777777" w:rsidTr="00D2481E">
        <w:trPr>
          <w:cantSplit w:val="0"/>
        </w:trPr>
        <w:tc>
          <w:tcPr>
            <w:tcW w:w="1484" w:type="dxa"/>
            <w:vMerge/>
          </w:tcPr>
          <w:p w14:paraId="7D7B2910" w14:textId="77777777" w:rsidR="00046510" w:rsidRDefault="00046510" w:rsidP="00612F66">
            <w:pPr>
              <w:jc w:val="center"/>
              <w:rPr>
                <w:b/>
              </w:rPr>
            </w:pPr>
          </w:p>
        </w:tc>
        <w:tc>
          <w:tcPr>
            <w:tcW w:w="1654" w:type="dxa"/>
            <w:vMerge/>
          </w:tcPr>
          <w:p w14:paraId="78E3471E" w14:textId="77777777" w:rsidR="00046510" w:rsidRDefault="00046510" w:rsidP="00612F66">
            <w:pPr>
              <w:rPr>
                <w:b/>
              </w:rPr>
            </w:pPr>
          </w:p>
        </w:tc>
        <w:tc>
          <w:tcPr>
            <w:tcW w:w="4394" w:type="dxa"/>
          </w:tcPr>
          <w:p w14:paraId="422C30ED" w14:textId="77777777" w:rsidR="00046510" w:rsidRDefault="00D5652E" w:rsidP="00612F66">
            <w:pPr>
              <w:rPr>
                <w:b/>
              </w:rPr>
            </w:pPr>
            <w:r>
              <w:rPr>
                <w:b/>
              </w:rPr>
              <w:t>Foundational</w:t>
            </w:r>
            <w:r w:rsidR="00046510">
              <w:rPr>
                <w:b/>
              </w:rPr>
              <w:t xml:space="preserve">: </w:t>
            </w:r>
            <w:r w:rsidRPr="00D5652E">
              <w:t>Progress towards their privacy strategy, roadmap and work programme is reported to senior leadership and relevant governance bodies on an initiative basis.</w:t>
            </w:r>
          </w:p>
        </w:tc>
        <w:tc>
          <w:tcPr>
            <w:tcW w:w="1401" w:type="dxa"/>
            <w:vMerge/>
          </w:tcPr>
          <w:p w14:paraId="345DC4A6" w14:textId="77777777" w:rsidR="00046510" w:rsidRDefault="00046510" w:rsidP="00612F66">
            <w:pPr>
              <w:rPr>
                <w:b/>
              </w:rPr>
            </w:pPr>
          </w:p>
        </w:tc>
      </w:tr>
      <w:tr w:rsidR="00046510" w14:paraId="1FF21188" w14:textId="77777777" w:rsidTr="00D2481E">
        <w:trPr>
          <w:cantSplit w:val="0"/>
        </w:trPr>
        <w:tc>
          <w:tcPr>
            <w:tcW w:w="1484" w:type="dxa"/>
            <w:vMerge/>
          </w:tcPr>
          <w:p w14:paraId="207A23DF" w14:textId="77777777" w:rsidR="00046510" w:rsidRDefault="00046510" w:rsidP="00612F66">
            <w:pPr>
              <w:rPr>
                <w:b/>
              </w:rPr>
            </w:pPr>
          </w:p>
        </w:tc>
        <w:tc>
          <w:tcPr>
            <w:tcW w:w="1654" w:type="dxa"/>
            <w:vMerge/>
          </w:tcPr>
          <w:p w14:paraId="08BEE826" w14:textId="77777777" w:rsidR="00046510" w:rsidRDefault="00046510" w:rsidP="00612F66">
            <w:pPr>
              <w:rPr>
                <w:b/>
              </w:rPr>
            </w:pPr>
          </w:p>
        </w:tc>
        <w:tc>
          <w:tcPr>
            <w:tcW w:w="4394" w:type="dxa"/>
          </w:tcPr>
          <w:p w14:paraId="1EDCADE2" w14:textId="77777777" w:rsidR="00046510" w:rsidRDefault="00046510" w:rsidP="00612F66">
            <w:pPr>
              <w:rPr>
                <w:b/>
              </w:rPr>
            </w:pPr>
            <w:r>
              <w:rPr>
                <w:b/>
              </w:rPr>
              <w:t xml:space="preserve">Managed: </w:t>
            </w:r>
            <w:r w:rsidR="00D5652E" w:rsidRPr="00D5652E">
              <w:t>Progress towards their privacy strategy, roadmap and work programme is tracked and reported regularly to senior leadership and relevant governance bodies.</w:t>
            </w:r>
          </w:p>
        </w:tc>
        <w:tc>
          <w:tcPr>
            <w:tcW w:w="1401" w:type="dxa"/>
            <w:vMerge/>
          </w:tcPr>
          <w:p w14:paraId="130773CC" w14:textId="77777777" w:rsidR="00046510" w:rsidRDefault="00046510" w:rsidP="00612F66">
            <w:pPr>
              <w:rPr>
                <w:b/>
              </w:rPr>
            </w:pPr>
          </w:p>
        </w:tc>
      </w:tr>
      <w:tr w:rsidR="00AE3790" w14:paraId="510B57E9" w14:textId="77777777" w:rsidTr="00E50C58">
        <w:trPr>
          <w:cantSplit w:val="0"/>
        </w:trPr>
        <w:tc>
          <w:tcPr>
            <w:tcW w:w="1484" w:type="dxa"/>
          </w:tcPr>
          <w:p w14:paraId="24975FA1" w14:textId="77777777" w:rsidR="00AE3790" w:rsidRDefault="00AE3790" w:rsidP="00AE3790">
            <w:pPr>
              <w:rPr>
                <w:b/>
              </w:rPr>
            </w:pPr>
            <w:r>
              <w:rPr>
                <w:b/>
              </w:rPr>
              <w:lastRenderedPageBreak/>
              <w:t>Context</w:t>
            </w:r>
            <w:r w:rsidRPr="00E93801">
              <w:rPr>
                <w:b/>
              </w:rPr>
              <w:t>:</w:t>
            </w:r>
          </w:p>
        </w:tc>
        <w:tc>
          <w:tcPr>
            <w:tcW w:w="7449" w:type="dxa"/>
            <w:gridSpan w:val="3"/>
          </w:tcPr>
          <w:p w14:paraId="5E3C796E" w14:textId="77777777" w:rsidR="00AE3790" w:rsidRPr="00D73E5B" w:rsidRDefault="00AE3790" w:rsidP="00AE3790">
            <w:r w:rsidRPr="004B205D">
              <w:rPr>
                <w:highlight w:val="yellow"/>
              </w:rPr>
              <w:t>(insert comment here)</w:t>
            </w:r>
          </w:p>
        </w:tc>
      </w:tr>
      <w:tr w:rsidR="00AE3790" w14:paraId="41F7AD17" w14:textId="77777777" w:rsidTr="00E50C58">
        <w:trPr>
          <w:cantSplit w:val="0"/>
        </w:trPr>
        <w:tc>
          <w:tcPr>
            <w:tcW w:w="1484" w:type="dxa"/>
          </w:tcPr>
          <w:p w14:paraId="3B387583" w14:textId="77777777" w:rsidR="00AE3790" w:rsidRDefault="00AE3790" w:rsidP="00AE3790">
            <w:pPr>
              <w:rPr>
                <w:b/>
              </w:rPr>
            </w:pPr>
            <w:r>
              <w:rPr>
                <w:b/>
              </w:rPr>
              <w:t>Achievement:</w:t>
            </w:r>
          </w:p>
        </w:tc>
        <w:tc>
          <w:tcPr>
            <w:tcW w:w="7449" w:type="dxa"/>
            <w:gridSpan w:val="3"/>
          </w:tcPr>
          <w:p w14:paraId="000103B3" w14:textId="77777777" w:rsidR="00AE3790" w:rsidRPr="004B205D" w:rsidRDefault="00AE3790" w:rsidP="00AE3790">
            <w:pPr>
              <w:rPr>
                <w:highlight w:val="yellow"/>
              </w:rPr>
            </w:pPr>
            <w:r w:rsidRPr="004B205D">
              <w:rPr>
                <w:highlight w:val="yellow"/>
              </w:rPr>
              <w:t>(insert comment here)</w:t>
            </w:r>
          </w:p>
        </w:tc>
      </w:tr>
      <w:tr w:rsidR="00AE3790" w14:paraId="2078095F" w14:textId="77777777" w:rsidTr="00E50C58">
        <w:trPr>
          <w:cantSplit w:val="0"/>
        </w:trPr>
        <w:tc>
          <w:tcPr>
            <w:tcW w:w="1484" w:type="dxa"/>
          </w:tcPr>
          <w:p w14:paraId="55B814A3" w14:textId="77777777" w:rsidR="00AE3790" w:rsidRDefault="00AE3790" w:rsidP="00AE3790">
            <w:pPr>
              <w:rPr>
                <w:b/>
              </w:rPr>
            </w:pPr>
            <w:r>
              <w:rPr>
                <w:b/>
              </w:rPr>
              <w:t>Future focus:</w:t>
            </w:r>
          </w:p>
        </w:tc>
        <w:tc>
          <w:tcPr>
            <w:tcW w:w="7449" w:type="dxa"/>
            <w:gridSpan w:val="3"/>
          </w:tcPr>
          <w:p w14:paraId="11FC8B48" w14:textId="77777777" w:rsidR="00AE3790" w:rsidRPr="004B205D" w:rsidRDefault="00AE3790" w:rsidP="00AE3790">
            <w:pPr>
              <w:rPr>
                <w:highlight w:val="yellow"/>
              </w:rPr>
            </w:pPr>
            <w:r w:rsidRPr="004B205D">
              <w:rPr>
                <w:highlight w:val="yellow"/>
              </w:rPr>
              <w:t>(insert comment here)</w:t>
            </w:r>
          </w:p>
        </w:tc>
      </w:tr>
      <w:tr w:rsidR="00AE3790" w14:paraId="3816FD3C" w14:textId="77777777" w:rsidTr="00E50C58">
        <w:trPr>
          <w:cantSplit w:val="0"/>
        </w:trPr>
        <w:tc>
          <w:tcPr>
            <w:tcW w:w="1484" w:type="dxa"/>
          </w:tcPr>
          <w:p w14:paraId="380C4E8A" w14:textId="77777777" w:rsidR="00AE3790" w:rsidRDefault="00AE3790" w:rsidP="00AE3790">
            <w:pPr>
              <w:rPr>
                <w:b/>
              </w:rPr>
            </w:pPr>
            <w:r>
              <w:rPr>
                <w:b/>
              </w:rPr>
              <w:t>Challenge:</w:t>
            </w:r>
          </w:p>
        </w:tc>
        <w:tc>
          <w:tcPr>
            <w:tcW w:w="7449" w:type="dxa"/>
            <w:gridSpan w:val="3"/>
          </w:tcPr>
          <w:p w14:paraId="4B2DD37B" w14:textId="77777777" w:rsidR="00AE3790" w:rsidRPr="004B205D" w:rsidRDefault="00AE3790" w:rsidP="00AE3790">
            <w:pPr>
              <w:rPr>
                <w:highlight w:val="yellow"/>
              </w:rPr>
            </w:pPr>
            <w:r w:rsidRPr="004B205D">
              <w:rPr>
                <w:highlight w:val="yellow"/>
              </w:rPr>
              <w:t>(insert comment here)</w:t>
            </w:r>
          </w:p>
        </w:tc>
      </w:tr>
    </w:tbl>
    <w:p w14:paraId="64FDC1AF" w14:textId="77777777" w:rsidR="00975C63" w:rsidRDefault="00975C63">
      <w:pPr>
        <w:keepLines w:val="0"/>
        <w:rPr>
          <w:b/>
        </w:rPr>
      </w:pPr>
    </w:p>
    <w:tbl>
      <w:tblPr>
        <w:tblStyle w:val="DIATable"/>
        <w:tblW w:w="8933" w:type="dxa"/>
        <w:tblLook w:val="04A0" w:firstRow="1" w:lastRow="0" w:firstColumn="1" w:lastColumn="0" w:noHBand="0" w:noVBand="1"/>
      </w:tblPr>
      <w:tblGrid>
        <w:gridCol w:w="1484"/>
        <w:gridCol w:w="1654"/>
        <w:gridCol w:w="4394"/>
        <w:gridCol w:w="1401"/>
      </w:tblGrid>
      <w:tr w:rsidR="00612F66" w14:paraId="68BFEE52" w14:textId="77777777" w:rsidTr="008D5CC4">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F06A22" w:themeFill="accent6"/>
          </w:tcPr>
          <w:p w14:paraId="75FC3D13" w14:textId="77777777" w:rsidR="00612F66" w:rsidRPr="00A10695" w:rsidRDefault="008D5CC4" w:rsidP="00B519CB">
            <w:bookmarkStart w:id="0" w:name="_Hlk72857803"/>
            <w:r w:rsidRPr="00D9695C">
              <w:t>Planning, policies and practice</w:t>
            </w:r>
            <w:r>
              <w:t xml:space="preserve"> 2</w:t>
            </w:r>
            <w:r w:rsidRPr="00D73E5B">
              <w:t xml:space="preserve">: </w:t>
            </w:r>
            <w:r w:rsidRPr="00215770">
              <w:t>Have policies to equip managers and staff to play their part in achieving the core expectations.</w:t>
            </w:r>
          </w:p>
        </w:tc>
      </w:tr>
      <w:tr w:rsidR="00046510" w14:paraId="7F2F9411" w14:textId="77777777" w:rsidTr="00D2481E">
        <w:trPr>
          <w:cantSplit w:val="0"/>
        </w:trPr>
        <w:tc>
          <w:tcPr>
            <w:tcW w:w="1484" w:type="dxa"/>
            <w:vMerge w:val="restart"/>
          </w:tcPr>
          <w:p w14:paraId="2626B9B3" w14:textId="77777777" w:rsidR="00046510" w:rsidRDefault="00046510" w:rsidP="008D5CC4">
            <w:pPr>
              <w:rPr>
                <w:b/>
              </w:rPr>
            </w:pPr>
            <w:r>
              <w:rPr>
                <w:b/>
              </w:rPr>
              <w:t>P2.1</w:t>
            </w:r>
          </w:p>
        </w:tc>
        <w:tc>
          <w:tcPr>
            <w:tcW w:w="1654" w:type="dxa"/>
            <w:vMerge w:val="restart"/>
          </w:tcPr>
          <w:p w14:paraId="36AECFCF" w14:textId="77777777" w:rsidR="00046510" w:rsidRDefault="00046510" w:rsidP="008D5CC4">
            <w:pPr>
              <w:rPr>
                <w:b/>
              </w:rPr>
            </w:pPr>
            <w:r w:rsidRPr="00215770">
              <w:rPr>
                <w:b/>
              </w:rPr>
              <w:t>Policies</w:t>
            </w:r>
          </w:p>
        </w:tc>
        <w:tc>
          <w:tcPr>
            <w:tcW w:w="4394" w:type="dxa"/>
          </w:tcPr>
          <w:p w14:paraId="6B67127C" w14:textId="77777777" w:rsidR="00046510" w:rsidRPr="005D36E7" w:rsidRDefault="00046510" w:rsidP="008D5CC4">
            <w:pPr>
              <w:rPr>
                <w:b/>
              </w:rPr>
            </w:pPr>
            <w:r>
              <w:rPr>
                <w:b/>
              </w:rPr>
              <w:t xml:space="preserve">Informal: </w:t>
            </w:r>
            <w:r w:rsidR="00D5652E" w:rsidRPr="00D5652E">
              <w:t>Privacy policies and related documents are insufficient to meet the agency’s privacy needs, are communicated in an ad hoc or reactive basis and are not regularly reviewed.</w:t>
            </w:r>
          </w:p>
        </w:tc>
        <w:tc>
          <w:tcPr>
            <w:tcW w:w="1401" w:type="dxa"/>
            <w:vMerge w:val="restart"/>
          </w:tcPr>
          <w:p w14:paraId="6C3D1A87" w14:textId="77777777" w:rsidR="00046510" w:rsidRPr="00DE51C7" w:rsidRDefault="00046510" w:rsidP="008D5CC4">
            <w:pPr>
              <w:jc w:val="center"/>
            </w:pPr>
            <w:r w:rsidRPr="00DE51C7">
              <w:rPr>
                <w:highlight w:val="yellow"/>
              </w:rPr>
              <w:t>Type rating here</w:t>
            </w:r>
          </w:p>
        </w:tc>
      </w:tr>
      <w:tr w:rsidR="00046510" w14:paraId="4DC409C6" w14:textId="77777777" w:rsidTr="00D2481E">
        <w:trPr>
          <w:cantSplit w:val="0"/>
        </w:trPr>
        <w:tc>
          <w:tcPr>
            <w:tcW w:w="1484" w:type="dxa"/>
            <w:vMerge/>
          </w:tcPr>
          <w:p w14:paraId="5F504716" w14:textId="77777777" w:rsidR="00046510" w:rsidRDefault="00046510" w:rsidP="008D5CC4">
            <w:pPr>
              <w:jc w:val="center"/>
              <w:rPr>
                <w:b/>
              </w:rPr>
            </w:pPr>
          </w:p>
        </w:tc>
        <w:tc>
          <w:tcPr>
            <w:tcW w:w="1654" w:type="dxa"/>
            <w:vMerge/>
          </w:tcPr>
          <w:p w14:paraId="25C3FB06" w14:textId="77777777" w:rsidR="00046510" w:rsidRDefault="00046510" w:rsidP="008D5CC4">
            <w:pPr>
              <w:rPr>
                <w:b/>
              </w:rPr>
            </w:pPr>
          </w:p>
        </w:tc>
        <w:tc>
          <w:tcPr>
            <w:tcW w:w="4394" w:type="dxa"/>
          </w:tcPr>
          <w:p w14:paraId="6A81DB76" w14:textId="77777777" w:rsidR="00D5652E" w:rsidRDefault="00D5652E" w:rsidP="00D5652E">
            <w:r>
              <w:rPr>
                <w:b/>
              </w:rPr>
              <w:t>Foundational</w:t>
            </w:r>
            <w:r w:rsidR="00046510">
              <w:rPr>
                <w:b/>
              </w:rPr>
              <w:t xml:space="preserve">: </w:t>
            </w:r>
            <w:r>
              <w:t>Privacy policies and related documents meet the agency’s privacy needs.</w:t>
            </w:r>
          </w:p>
          <w:p w14:paraId="12CD263F" w14:textId="77777777" w:rsidR="00046510" w:rsidRPr="005D36E7" w:rsidRDefault="00D5652E" w:rsidP="008D5CC4">
            <w:r>
              <w:t>They are used by individual initiatives or within a subset of core business processes (such as procurement, policy or service design, frontline operations and management, analysis and research) but are not explicitly aligned to agency needs.</w:t>
            </w:r>
          </w:p>
        </w:tc>
        <w:tc>
          <w:tcPr>
            <w:tcW w:w="1401" w:type="dxa"/>
            <w:vMerge/>
          </w:tcPr>
          <w:p w14:paraId="6340F356" w14:textId="77777777" w:rsidR="00046510" w:rsidRPr="00DE51C7" w:rsidRDefault="00046510" w:rsidP="008D5CC4"/>
        </w:tc>
      </w:tr>
      <w:tr w:rsidR="00046510" w14:paraId="56BB6F3A" w14:textId="77777777" w:rsidTr="00D2481E">
        <w:trPr>
          <w:cantSplit w:val="0"/>
        </w:trPr>
        <w:tc>
          <w:tcPr>
            <w:tcW w:w="1484" w:type="dxa"/>
            <w:vMerge/>
          </w:tcPr>
          <w:p w14:paraId="74B7E178" w14:textId="77777777" w:rsidR="00046510" w:rsidRDefault="00046510" w:rsidP="008D5CC4">
            <w:pPr>
              <w:rPr>
                <w:b/>
              </w:rPr>
            </w:pPr>
          </w:p>
        </w:tc>
        <w:tc>
          <w:tcPr>
            <w:tcW w:w="1654" w:type="dxa"/>
            <w:vMerge/>
          </w:tcPr>
          <w:p w14:paraId="4D51B20D" w14:textId="77777777" w:rsidR="00046510" w:rsidRDefault="00046510" w:rsidP="008D5CC4">
            <w:pPr>
              <w:rPr>
                <w:b/>
              </w:rPr>
            </w:pPr>
          </w:p>
        </w:tc>
        <w:tc>
          <w:tcPr>
            <w:tcW w:w="4394" w:type="dxa"/>
          </w:tcPr>
          <w:p w14:paraId="5228877F" w14:textId="77777777" w:rsidR="00046510" w:rsidRDefault="00046510" w:rsidP="008D5CC4">
            <w:pPr>
              <w:rPr>
                <w:b/>
              </w:rPr>
            </w:pPr>
            <w:r>
              <w:rPr>
                <w:b/>
              </w:rPr>
              <w:t xml:space="preserve">Managed: </w:t>
            </w:r>
            <w:r w:rsidR="00D5652E" w:rsidRPr="00D5652E">
              <w:t>Privacy policies and related documents are easy to understand, communicated and accessible throughout the agency, and reviewed regularly to ensure that they remain relevant and aligned with the agency’s needs.</w:t>
            </w:r>
          </w:p>
        </w:tc>
        <w:tc>
          <w:tcPr>
            <w:tcW w:w="1401" w:type="dxa"/>
            <w:vMerge/>
          </w:tcPr>
          <w:p w14:paraId="77E2E6C1" w14:textId="77777777" w:rsidR="00046510" w:rsidRPr="00DE51C7" w:rsidRDefault="00046510" w:rsidP="008D5CC4"/>
        </w:tc>
      </w:tr>
      <w:tr w:rsidR="00046510" w14:paraId="12DF8ADD" w14:textId="77777777" w:rsidTr="00D2481E">
        <w:trPr>
          <w:cantSplit w:val="0"/>
        </w:trPr>
        <w:tc>
          <w:tcPr>
            <w:tcW w:w="1484" w:type="dxa"/>
            <w:vMerge w:val="restart"/>
          </w:tcPr>
          <w:p w14:paraId="6FA6DA4F" w14:textId="77777777" w:rsidR="00046510" w:rsidRDefault="00046510" w:rsidP="008D5CC4">
            <w:pPr>
              <w:rPr>
                <w:b/>
              </w:rPr>
            </w:pPr>
            <w:r>
              <w:rPr>
                <w:b/>
              </w:rPr>
              <w:t>P2.2</w:t>
            </w:r>
          </w:p>
        </w:tc>
        <w:tc>
          <w:tcPr>
            <w:tcW w:w="1654" w:type="dxa"/>
            <w:vMerge w:val="restart"/>
          </w:tcPr>
          <w:p w14:paraId="6F120B85" w14:textId="77777777" w:rsidR="00046510" w:rsidRDefault="00F82CAD" w:rsidP="008D5CC4">
            <w:pPr>
              <w:rPr>
                <w:b/>
              </w:rPr>
            </w:pPr>
            <w:r>
              <w:rPr>
                <w:b/>
              </w:rPr>
              <w:t>Procurement c</w:t>
            </w:r>
            <w:r w:rsidR="00046510" w:rsidRPr="00215770">
              <w:rPr>
                <w:b/>
              </w:rPr>
              <w:t>ontracts</w:t>
            </w:r>
          </w:p>
        </w:tc>
        <w:tc>
          <w:tcPr>
            <w:tcW w:w="4394" w:type="dxa"/>
          </w:tcPr>
          <w:p w14:paraId="2250F337" w14:textId="77777777" w:rsidR="00046510" w:rsidRDefault="00046510" w:rsidP="008D5CC4">
            <w:pPr>
              <w:rPr>
                <w:b/>
              </w:rPr>
            </w:pPr>
            <w:r>
              <w:rPr>
                <w:b/>
              </w:rPr>
              <w:t xml:space="preserve">Informal: </w:t>
            </w:r>
            <w:r w:rsidR="00D5652E" w:rsidRPr="00D5652E">
              <w:t>The inclusion of privacy policies in procurement contracts is ad hoc or reactive.</w:t>
            </w:r>
          </w:p>
        </w:tc>
        <w:tc>
          <w:tcPr>
            <w:tcW w:w="1401" w:type="dxa"/>
            <w:vMerge w:val="restart"/>
          </w:tcPr>
          <w:p w14:paraId="168F4F3D" w14:textId="77777777" w:rsidR="00046510" w:rsidRPr="00DE51C7" w:rsidRDefault="00046510" w:rsidP="008D5CC4">
            <w:pPr>
              <w:jc w:val="center"/>
            </w:pPr>
            <w:r w:rsidRPr="00DE51C7">
              <w:rPr>
                <w:highlight w:val="yellow"/>
              </w:rPr>
              <w:t>Type rating here</w:t>
            </w:r>
          </w:p>
        </w:tc>
      </w:tr>
      <w:tr w:rsidR="00046510" w14:paraId="771BCAA0" w14:textId="77777777" w:rsidTr="00D2481E">
        <w:trPr>
          <w:cantSplit w:val="0"/>
        </w:trPr>
        <w:tc>
          <w:tcPr>
            <w:tcW w:w="1484" w:type="dxa"/>
            <w:vMerge/>
          </w:tcPr>
          <w:p w14:paraId="24DF0080" w14:textId="77777777" w:rsidR="00046510" w:rsidRDefault="00046510" w:rsidP="008D5CC4">
            <w:pPr>
              <w:jc w:val="center"/>
              <w:rPr>
                <w:b/>
              </w:rPr>
            </w:pPr>
          </w:p>
        </w:tc>
        <w:tc>
          <w:tcPr>
            <w:tcW w:w="1654" w:type="dxa"/>
            <w:vMerge/>
          </w:tcPr>
          <w:p w14:paraId="1A22FB87" w14:textId="77777777" w:rsidR="00046510" w:rsidRDefault="00046510" w:rsidP="008D5CC4">
            <w:pPr>
              <w:rPr>
                <w:b/>
              </w:rPr>
            </w:pPr>
          </w:p>
        </w:tc>
        <w:tc>
          <w:tcPr>
            <w:tcW w:w="4394" w:type="dxa"/>
          </w:tcPr>
          <w:p w14:paraId="4B183964" w14:textId="77777777" w:rsidR="00046510" w:rsidRDefault="00D5652E" w:rsidP="008D5CC4">
            <w:pPr>
              <w:rPr>
                <w:b/>
              </w:rPr>
            </w:pPr>
            <w:r>
              <w:rPr>
                <w:b/>
              </w:rPr>
              <w:t>Foundational</w:t>
            </w:r>
            <w:r w:rsidR="00046510">
              <w:rPr>
                <w:b/>
              </w:rPr>
              <w:t xml:space="preserve">: </w:t>
            </w:r>
            <w:r w:rsidRPr="00D5652E">
              <w:t>The agency’s procurement contracts sometimes include terms and conditions relating to privacy policies and practices, but this happens at the individual initiative level and is not a standard practice.</w:t>
            </w:r>
          </w:p>
        </w:tc>
        <w:tc>
          <w:tcPr>
            <w:tcW w:w="1401" w:type="dxa"/>
            <w:vMerge/>
          </w:tcPr>
          <w:p w14:paraId="7B5E98E0" w14:textId="77777777" w:rsidR="00046510" w:rsidRDefault="00046510" w:rsidP="008D5CC4">
            <w:pPr>
              <w:rPr>
                <w:b/>
              </w:rPr>
            </w:pPr>
          </w:p>
        </w:tc>
      </w:tr>
      <w:tr w:rsidR="00046510" w14:paraId="2262FA74" w14:textId="77777777" w:rsidTr="00D2481E">
        <w:trPr>
          <w:cantSplit w:val="0"/>
        </w:trPr>
        <w:tc>
          <w:tcPr>
            <w:tcW w:w="1484" w:type="dxa"/>
            <w:vMerge/>
          </w:tcPr>
          <w:p w14:paraId="003942B5" w14:textId="77777777" w:rsidR="00046510" w:rsidRDefault="00046510" w:rsidP="008D5CC4">
            <w:pPr>
              <w:rPr>
                <w:b/>
              </w:rPr>
            </w:pPr>
          </w:p>
        </w:tc>
        <w:tc>
          <w:tcPr>
            <w:tcW w:w="1654" w:type="dxa"/>
            <w:vMerge/>
          </w:tcPr>
          <w:p w14:paraId="2FC0C07E" w14:textId="77777777" w:rsidR="00046510" w:rsidRDefault="00046510" w:rsidP="008D5CC4">
            <w:pPr>
              <w:rPr>
                <w:b/>
              </w:rPr>
            </w:pPr>
          </w:p>
        </w:tc>
        <w:tc>
          <w:tcPr>
            <w:tcW w:w="4394" w:type="dxa"/>
          </w:tcPr>
          <w:p w14:paraId="10A57818" w14:textId="77777777" w:rsidR="00046510" w:rsidRDefault="00046510" w:rsidP="008D5CC4">
            <w:pPr>
              <w:rPr>
                <w:b/>
              </w:rPr>
            </w:pPr>
            <w:r>
              <w:rPr>
                <w:b/>
              </w:rPr>
              <w:t xml:space="preserve">Managed: </w:t>
            </w:r>
            <w:r w:rsidR="00D5652E" w:rsidRPr="00D5652E">
              <w:t>The agency’s procurement contracts include standard terms and conditions relating to privacy, and privacy policies and related documents include advice on external suppliers and personal information.</w:t>
            </w:r>
          </w:p>
        </w:tc>
        <w:tc>
          <w:tcPr>
            <w:tcW w:w="1401" w:type="dxa"/>
            <w:vMerge/>
          </w:tcPr>
          <w:p w14:paraId="36FCFC2C" w14:textId="77777777" w:rsidR="00046510" w:rsidRDefault="00046510" w:rsidP="008D5CC4">
            <w:pPr>
              <w:rPr>
                <w:b/>
              </w:rPr>
            </w:pPr>
          </w:p>
        </w:tc>
      </w:tr>
      <w:tr w:rsidR="00AE3790" w14:paraId="5CE7EF98" w14:textId="77777777" w:rsidTr="00E50C58">
        <w:trPr>
          <w:cantSplit w:val="0"/>
        </w:trPr>
        <w:tc>
          <w:tcPr>
            <w:tcW w:w="1484" w:type="dxa"/>
          </w:tcPr>
          <w:p w14:paraId="4A2EFF25" w14:textId="77777777" w:rsidR="00AE3790" w:rsidRDefault="00AE3790" w:rsidP="00AE3790">
            <w:pPr>
              <w:rPr>
                <w:b/>
              </w:rPr>
            </w:pPr>
            <w:r>
              <w:rPr>
                <w:b/>
              </w:rPr>
              <w:t>Context</w:t>
            </w:r>
            <w:r w:rsidRPr="00E93801">
              <w:rPr>
                <w:b/>
              </w:rPr>
              <w:t>:</w:t>
            </w:r>
          </w:p>
        </w:tc>
        <w:tc>
          <w:tcPr>
            <w:tcW w:w="7449" w:type="dxa"/>
            <w:gridSpan w:val="3"/>
          </w:tcPr>
          <w:p w14:paraId="07FF0177" w14:textId="77777777" w:rsidR="00AE3790" w:rsidRPr="00D73E5B" w:rsidRDefault="00AE3790" w:rsidP="00AE3790">
            <w:r w:rsidRPr="004B205D">
              <w:rPr>
                <w:highlight w:val="yellow"/>
              </w:rPr>
              <w:t>(insert comment here)</w:t>
            </w:r>
          </w:p>
        </w:tc>
      </w:tr>
      <w:tr w:rsidR="00AE3790" w14:paraId="55B27AE6" w14:textId="77777777" w:rsidTr="00E50C58">
        <w:trPr>
          <w:cantSplit w:val="0"/>
        </w:trPr>
        <w:tc>
          <w:tcPr>
            <w:tcW w:w="1484" w:type="dxa"/>
          </w:tcPr>
          <w:p w14:paraId="48DF915B" w14:textId="77777777" w:rsidR="00AE3790" w:rsidRDefault="00AE3790" w:rsidP="00AE3790">
            <w:pPr>
              <w:rPr>
                <w:b/>
              </w:rPr>
            </w:pPr>
            <w:r>
              <w:rPr>
                <w:b/>
              </w:rPr>
              <w:t>Achievement:</w:t>
            </w:r>
          </w:p>
        </w:tc>
        <w:tc>
          <w:tcPr>
            <w:tcW w:w="7449" w:type="dxa"/>
            <w:gridSpan w:val="3"/>
          </w:tcPr>
          <w:p w14:paraId="43D8228E" w14:textId="77777777" w:rsidR="00AE3790" w:rsidRPr="004B205D" w:rsidRDefault="00AE3790" w:rsidP="00AE3790">
            <w:pPr>
              <w:rPr>
                <w:highlight w:val="yellow"/>
              </w:rPr>
            </w:pPr>
            <w:r w:rsidRPr="004B205D">
              <w:rPr>
                <w:highlight w:val="yellow"/>
              </w:rPr>
              <w:t>(insert comment here)</w:t>
            </w:r>
          </w:p>
        </w:tc>
      </w:tr>
      <w:tr w:rsidR="00AE3790" w14:paraId="32D79B50" w14:textId="77777777" w:rsidTr="00E50C58">
        <w:trPr>
          <w:cantSplit w:val="0"/>
        </w:trPr>
        <w:tc>
          <w:tcPr>
            <w:tcW w:w="1484" w:type="dxa"/>
          </w:tcPr>
          <w:p w14:paraId="3B21B72D" w14:textId="77777777" w:rsidR="00AE3790" w:rsidRDefault="00AE3790" w:rsidP="00AE3790">
            <w:pPr>
              <w:rPr>
                <w:b/>
              </w:rPr>
            </w:pPr>
            <w:r>
              <w:rPr>
                <w:b/>
              </w:rPr>
              <w:t>Future focus:</w:t>
            </w:r>
          </w:p>
        </w:tc>
        <w:tc>
          <w:tcPr>
            <w:tcW w:w="7449" w:type="dxa"/>
            <w:gridSpan w:val="3"/>
          </w:tcPr>
          <w:p w14:paraId="177D0939" w14:textId="77777777" w:rsidR="00AE3790" w:rsidRPr="004B205D" w:rsidRDefault="00AE3790" w:rsidP="00AE3790">
            <w:pPr>
              <w:rPr>
                <w:highlight w:val="yellow"/>
              </w:rPr>
            </w:pPr>
            <w:r w:rsidRPr="004B205D">
              <w:rPr>
                <w:highlight w:val="yellow"/>
              </w:rPr>
              <w:t>(insert comment here)</w:t>
            </w:r>
          </w:p>
        </w:tc>
      </w:tr>
      <w:tr w:rsidR="00AE3790" w14:paraId="2C9964CF" w14:textId="77777777" w:rsidTr="00E50C58">
        <w:trPr>
          <w:cantSplit w:val="0"/>
        </w:trPr>
        <w:tc>
          <w:tcPr>
            <w:tcW w:w="1484" w:type="dxa"/>
          </w:tcPr>
          <w:p w14:paraId="146E0A1B" w14:textId="77777777" w:rsidR="00AE3790" w:rsidRDefault="00AE3790" w:rsidP="00AE3790">
            <w:pPr>
              <w:rPr>
                <w:b/>
              </w:rPr>
            </w:pPr>
            <w:r>
              <w:rPr>
                <w:b/>
              </w:rPr>
              <w:t>Challenge:</w:t>
            </w:r>
          </w:p>
        </w:tc>
        <w:tc>
          <w:tcPr>
            <w:tcW w:w="7449" w:type="dxa"/>
            <w:gridSpan w:val="3"/>
          </w:tcPr>
          <w:p w14:paraId="5C867091" w14:textId="77777777" w:rsidR="00AE3790" w:rsidRPr="004B205D" w:rsidRDefault="00AE3790" w:rsidP="00AE3790">
            <w:pPr>
              <w:rPr>
                <w:highlight w:val="yellow"/>
              </w:rPr>
            </w:pPr>
            <w:r w:rsidRPr="004B205D">
              <w:rPr>
                <w:highlight w:val="yellow"/>
              </w:rPr>
              <w:t>(insert comment here)</w:t>
            </w:r>
          </w:p>
        </w:tc>
      </w:tr>
      <w:bookmarkEnd w:id="0"/>
    </w:tbl>
    <w:p w14:paraId="5CC91364" w14:textId="77777777" w:rsidR="00F82CAD" w:rsidRDefault="00F82CAD">
      <w:pPr>
        <w:keepLines w:val="0"/>
        <w:rPr>
          <w:rFonts w:cs="Arial"/>
          <w:b/>
          <w:bCs/>
          <w:iCs/>
          <w:color w:val="1F546B"/>
          <w:sz w:val="36"/>
          <w:szCs w:val="28"/>
        </w:rPr>
      </w:pPr>
      <w:r>
        <w:br w:type="page"/>
      </w:r>
    </w:p>
    <w:p w14:paraId="28F9B993" w14:textId="77777777" w:rsidR="009B529C" w:rsidRPr="00EF4E8F" w:rsidRDefault="009B529C" w:rsidP="00EF4E8F">
      <w:pPr>
        <w:pStyle w:val="Heading1"/>
        <w:rPr>
          <w:rFonts w:asciiTheme="minorHAnsi" w:hAnsiTheme="minorHAnsi"/>
          <w:color w:val="1F546B"/>
          <w:sz w:val="40"/>
        </w:rPr>
      </w:pPr>
      <w:r w:rsidRPr="00EF4E8F">
        <w:rPr>
          <w:rFonts w:asciiTheme="minorHAnsi" w:hAnsiTheme="minorHAnsi"/>
          <w:color w:val="1F546B"/>
          <w:sz w:val="40"/>
        </w:rPr>
        <w:lastRenderedPageBreak/>
        <w:t>Privacy domains</w:t>
      </w:r>
    </w:p>
    <w:p w14:paraId="0F50F281" w14:textId="77777777" w:rsidR="00435EC8" w:rsidRPr="00435EC8" w:rsidRDefault="00E466D1" w:rsidP="00435EC8">
      <w:hyperlink r:id="rId32" w:history="1">
        <w:r w:rsidR="00435EC8" w:rsidRPr="00DC40CB">
          <w:rPr>
            <w:rStyle w:val="Hyperlink"/>
          </w:rPr>
          <w:t>Privacy domains guidance</w:t>
        </w:r>
      </w:hyperlink>
    </w:p>
    <w:tbl>
      <w:tblPr>
        <w:tblStyle w:val="DIATable"/>
        <w:tblW w:w="0" w:type="auto"/>
        <w:tblLook w:val="04A0" w:firstRow="1" w:lastRow="0" w:firstColumn="1" w:lastColumn="0" w:noHBand="0" w:noVBand="1"/>
      </w:tblPr>
      <w:tblGrid>
        <w:gridCol w:w="1484"/>
        <w:gridCol w:w="1654"/>
        <w:gridCol w:w="4394"/>
        <w:gridCol w:w="1401"/>
      </w:tblGrid>
      <w:tr w:rsidR="00975C63" w14:paraId="0EF97BB6" w14:textId="77777777" w:rsidTr="00B519CB">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7030A0"/>
          </w:tcPr>
          <w:p w14:paraId="2F73F7E3" w14:textId="77777777" w:rsidR="00975C63" w:rsidRDefault="00B519CB" w:rsidP="00B519CB">
            <w:pPr>
              <w:rPr>
                <w:b w:val="0"/>
              </w:rPr>
            </w:pPr>
            <w:r>
              <w:t>Privacy domains</w:t>
            </w:r>
            <w:r w:rsidR="00975C63">
              <w:t xml:space="preserve"> 1</w:t>
            </w:r>
            <w:r w:rsidR="00975C63" w:rsidRPr="00D73E5B">
              <w:t xml:space="preserve">: </w:t>
            </w:r>
            <w:r w:rsidR="00F82CAD" w:rsidRPr="00F82CAD">
              <w:t>Require a clear understanding of the purpose and necessity of the collection, use or sharing of personal information.</w:t>
            </w:r>
          </w:p>
        </w:tc>
      </w:tr>
      <w:tr w:rsidR="00046510" w14:paraId="523EEE2C" w14:textId="77777777" w:rsidTr="00D2481E">
        <w:trPr>
          <w:cantSplit w:val="0"/>
        </w:trPr>
        <w:tc>
          <w:tcPr>
            <w:tcW w:w="1484" w:type="dxa"/>
            <w:vMerge w:val="restart"/>
          </w:tcPr>
          <w:p w14:paraId="140BAA18" w14:textId="77777777" w:rsidR="00046510" w:rsidRDefault="00046510" w:rsidP="00975C63">
            <w:pPr>
              <w:rPr>
                <w:b/>
              </w:rPr>
            </w:pPr>
            <w:r>
              <w:rPr>
                <w:b/>
              </w:rPr>
              <w:t>PD1.1</w:t>
            </w:r>
          </w:p>
        </w:tc>
        <w:tc>
          <w:tcPr>
            <w:tcW w:w="1654" w:type="dxa"/>
            <w:vMerge w:val="restart"/>
          </w:tcPr>
          <w:p w14:paraId="1E891E4E" w14:textId="77777777" w:rsidR="00046510" w:rsidRDefault="00046510" w:rsidP="00975C63">
            <w:pPr>
              <w:rPr>
                <w:b/>
              </w:rPr>
            </w:pPr>
            <w:r w:rsidRPr="00215770">
              <w:rPr>
                <w:b/>
              </w:rPr>
              <w:t>Defining the purpose</w:t>
            </w:r>
          </w:p>
        </w:tc>
        <w:tc>
          <w:tcPr>
            <w:tcW w:w="4394" w:type="dxa"/>
          </w:tcPr>
          <w:p w14:paraId="0D5C6A09" w14:textId="77777777" w:rsidR="00046510" w:rsidRPr="005D36E7" w:rsidRDefault="00046510" w:rsidP="00975C63">
            <w:pPr>
              <w:rPr>
                <w:b/>
              </w:rPr>
            </w:pPr>
            <w:r>
              <w:rPr>
                <w:b/>
              </w:rPr>
              <w:t xml:space="preserve">Informal: </w:t>
            </w:r>
            <w:r w:rsidR="00D5652E" w:rsidRPr="00D5652E">
              <w:t>The agency’s advice on defining the purpose for the collection, use or sharing of personal information is ad hoc or reactive.</w:t>
            </w:r>
          </w:p>
        </w:tc>
        <w:tc>
          <w:tcPr>
            <w:tcW w:w="1401" w:type="dxa"/>
            <w:vMerge w:val="restart"/>
          </w:tcPr>
          <w:p w14:paraId="2D5C8AA0" w14:textId="77777777" w:rsidR="00046510" w:rsidRPr="00DE51C7" w:rsidRDefault="00046510" w:rsidP="00975C63">
            <w:pPr>
              <w:jc w:val="center"/>
            </w:pPr>
            <w:r w:rsidRPr="00DE51C7">
              <w:rPr>
                <w:highlight w:val="yellow"/>
              </w:rPr>
              <w:t>Type rating here</w:t>
            </w:r>
          </w:p>
        </w:tc>
      </w:tr>
      <w:tr w:rsidR="00046510" w14:paraId="399DE067" w14:textId="77777777" w:rsidTr="00D2481E">
        <w:trPr>
          <w:cantSplit w:val="0"/>
        </w:trPr>
        <w:tc>
          <w:tcPr>
            <w:tcW w:w="1484" w:type="dxa"/>
            <w:vMerge/>
          </w:tcPr>
          <w:p w14:paraId="5343E3DA" w14:textId="77777777" w:rsidR="00046510" w:rsidRDefault="00046510" w:rsidP="00975C63">
            <w:pPr>
              <w:jc w:val="center"/>
              <w:rPr>
                <w:b/>
              </w:rPr>
            </w:pPr>
          </w:p>
        </w:tc>
        <w:tc>
          <w:tcPr>
            <w:tcW w:w="1654" w:type="dxa"/>
            <w:vMerge/>
          </w:tcPr>
          <w:p w14:paraId="6E89022D" w14:textId="77777777" w:rsidR="00046510" w:rsidRDefault="00046510" w:rsidP="00975C63">
            <w:pPr>
              <w:rPr>
                <w:b/>
              </w:rPr>
            </w:pPr>
          </w:p>
        </w:tc>
        <w:tc>
          <w:tcPr>
            <w:tcW w:w="4394" w:type="dxa"/>
          </w:tcPr>
          <w:p w14:paraId="19256C57" w14:textId="77777777" w:rsidR="00046510" w:rsidRDefault="00F82CAD" w:rsidP="00975C63">
            <w:pPr>
              <w:rPr>
                <w:b/>
              </w:rPr>
            </w:pPr>
            <w:r>
              <w:rPr>
                <w:b/>
              </w:rPr>
              <w:t>Foundational</w:t>
            </w:r>
            <w:r w:rsidR="00046510">
              <w:rPr>
                <w:b/>
              </w:rPr>
              <w:t xml:space="preserve">: </w:t>
            </w:r>
            <w:r w:rsidR="00D5652E" w:rsidRPr="00D5652E">
              <w:t>The agency’s guidance on defining the purpose for the collection, use or sharing of personal information is focused on compliance and risk.</w:t>
            </w:r>
          </w:p>
        </w:tc>
        <w:tc>
          <w:tcPr>
            <w:tcW w:w="1401" w:type="dxa"/>
            <w:vMerge/>
          </w:tcPr>
          <w:p w14:paraId="4BB9FFF9" w14:textId="77777777" w:rsidR="00046510" w:rsidRPr="00DE51C7" w:rsidRDefault="00046510" w:rsidP="00975C63"/>
        </w:tc>
      </w:tr>
      <w:tr w:rsidR="00046510" w14:paraId="0ABB7983" w14:textId="77777777" w:rsidTr="00D2481E">
        <w:trPr>
          <w:cantSplit w:val="0"/>
        </w:trPr>
        <w:tc>
          <w:tcPr>
            <w:tcW w:w="1484" w:type="dxa"/>
            <w:vMerge/>
          </w:tcPr>
          <w:p w14:paraId="78B6AD4D" w14:textId="77777777" w:rsidR="00046510" w:rsidRDefault="00046510" w:rsidP="00975C63">
            <w:pPr>
              <w:rPr>
                <w:b/>
              </w:rPr>
            </w:pPr>
          </w:p>
        </w:tc>
        <w:tc>
          <w:tcPr>
            <w:tcW w:w="1654" w:type="dxa"/>
            <w:vMerge/>
          </w:tcPr>
          <w:p w14:paraId="132353AB" w14:textId="77777777" w:rsidR="00046510" w:rsidRDefault="00046510" w:rsidP="00975C63">
            <w:pPr>
              <w:rPr>
                <w:b/>
              </w:rPr>
            </w:pPr>
          </w:p>
        </w:tc>
        <w:tc>
          <w:tcPr>
            <w:tcW w:w="4394" w:type="dxa"/>
          </w:tcPr>
          <w:p w14:paraId="4D4D81CA" w14:textId="77777777" w:rsidR="00046510" w:rsidRPr="005D36E7" w:rsidRDefault="00046510" w:rsidP="00975C63">
            <w:pPr>
              <w:rPr>
                <w:b/>
              </w:rPr>
            </w:pPr>
            <w:r>
              <w:rPr>
                <w:b/>
              </w:rPr>
              <w:t xml:space="preserve">Managed: </w:t>
            </w:r>
            <w:r w:rsidR="00D5652E" w:rsidRPr="00D5652E">
              <w:t>The agency’s guidance is appropriately aligned with DPUP’s good-practice advice to accurately define purposes for collection, use or sharing of personal information for projects and business processes.</w:t>
            </w:r>
            <w:r>
              <w:t xml:space="preserve"> </w:t>
            </w:r>
          </w:p>
        </w:tc>
        <w:tc>
          <w:tcPr>
            <w:tcW w:w="1401" w:type="dxa"/>
            <w:vMerge/>
          </w:tcPr>
          <w:p w14:paraId="317904D7" w14:textId="77777777" w:rsidR="00046510" w:rsidRPr="00DE51C7" w:rsidRDefault="00046510" w:rsidP="00975C63"/>
        </w:tc>
      </w:tr>
      <w:tr w:rsidR="00046510" w14:paraId="0D814B94" w14:textId="77777777" w:rsidTr="00D2481E">
        <w:trPr>
          <w:cantSplit w:val="0"/>
        </w:trPr>
        <w:tc>
          <w:tcPr>
            <w:tcW w:w="1484" w:type="dxa"/>
            <w:vMerge w:val="restart"/>
          </w:tcPr>
          <w:p w14:paraId="55313C0E" w14:textId="77777777" w:rsidR="00046510" w:rsidRDefault="00046510" w:rsidP="00975C63">
            <w:pPr>
              <w:rPr>
                <w:b/>
              </w:rPr>
            </w:pPr>
            <w:r>
              <w:rPr>
                <w:b/>
              </w:rPr>
              <w:t>PD1.2</w:t>
            </w:r>
          </w:p>
        </w:tc>
        <w:tc>
          <w:tcPr>
            <w:tcW w:w="1654" w:type="dxa"/>
            <w:vMerge w:val="restart"/>
          </w:tcPr>
          <w:p w14:paraId="5CD9B808" w14:textId="77777777" w:rsidR="00046510" w:rsidRDefault="00046510" w:rsidP="00975C63">
            <w:pPr>
              <w:rPr>
                <w:b/>
              </w:rPr>
            </w:pPr>
            <w:r w:rsidRPr="00215770">
              <w:rPr>
                <w:b/>
              </w:rPr>
              <w:t>Identifying choices</w:t>
            </w:r>
          </w:p>
        </w:tc>
        <w:tc>
          <w:tcPr>
            <w:tcW w:w="4394" w:type="dxa"/>
          </w:tcPr>
          <w:p w14:paraId="2775E7AB" w14:textId="77777777" w:rsidR="00046510" w:rsidRDefault="00046510" w:rsidP="00975C63">
            <w:pPr>
              <w:rPr>
                <w:b/>
              </w:rPr>
            </w:pPr>
            <w:r>
              <w:rPr>
                <w:b/>
              </w:rPr>
              <w:t xml:space="preserve">Informal: </w:t>
            </w:r>
            <w:r w:rsidR="00D5652E" w:rsidRPr="00D5652E">
              <w:t>It’s unusual to offer any choices to service users, and if it is done, it’s ad hoc or reactive.</w:t>
            </w:r>
          </w:p>
        </w:tc>
        <w:tc>
          <w:tcPr>
            <w:tcW w:w="1401" w:type="dxa"/>
            <w:vMerge w:val="restart"/>
          </w:tcPr>
          <w:p w14:paraId="71456003" w14:textId="77777777" w:rsidR="00046510" w:rsidRPr="00DE51C7" w:rsidRDefault="00046510" w:rsidP="00975C63">
            <w:pPr>
              <w:jc w:val="center"/>
            </w:pPr>
            <w:r w:rsidRPr="00DE51C7">
              <w:rPr>
                <w:highlight w:val="yellow"/>
              </w:rPr>
              <w:t>Type rating here</w:t>
            </w:r>
          </w:p>
        </w:tc>
      </w:tr>
      <w:tr w:rsidR="00046510" w14:paraId="5E163A13" w14:textId="77777777" w:rsidTr="00D2481E">
        <w:trPr>
          <w:cantSplit w:val="0"/>
        </w:trPr>
        <w:tc>
          <w:tcPr>
            <w:tcW w:w="1484" w:type="dxa"/>
            <w:vMerge/>
          </w:tcPr>
          <w:p w14:paraId="343D233D" w14:textId="77777777" w:rsidR="00046510" w:rsidRDefault="00046510" w:rsidP="00975C63">
            <w:pPr>
              <w:jc w:val="center"/>
              <w:rPr>
                <w:b/>
              </w:rPr>
            </w:pPr>
          </w:p>
        </w:tc>
        <w:tc>
          <w:tcPr>
            <w:tcW w:w="1654" w:type="dxa"/>
            <w:vMerge/>
          </w:tcPr>
          <w:p w14:paraId="287DB706" w14:textId="77777777" w:rsidR="00046510" w:rsidRDefault="00046510" w:rsidP="00975C63">
            <w:pPr>
              <w:rPr>
                <w:b/>
              </w:rPr>
            </w:pPr>
          </w:p>
        </w:tc>
        <w:tc>
          <w:tcPr>
            <w:tcW w:w="4394" w:type="dxa"/>
          </w:tcPr>
          <w:p w14:paraId="79E32F2D" w14:textId="77777777" w:rsidR="00046510" w:rsidRDefault="00F82CAD" w:rsidP="00975C63">
            <w:pPr>
              <w:rPr>
                <w:b/>
              </w:rPr>
            </w:pPr>
            <w:r>
              <w:rPr>
                <w:b/>
              </w:rPr>
              <w:t>Foundational</w:t>
            </w:r>
            <w:r w:rsidR="00046510">
              <w:rPr>
                <w:b/>
              </w:rPr>
              <w:t xml:space="preserve">: </w:t>
            </w:r>
            <w:r w:rsidR="00D5652E" w:rsidRPr="00D5652E">
              <w:t>Steps to identify practical choices that service users may be given regarding the collection or use of their personal information are taken by individual initiatives.</w:t>
            </w:r>
          </w:p>
        </w:tc>
        <w:tc>
          <w:tcPr>
            <w:tcW w:w="1401" w:type="dxa"/>
            <w:vMerge/>
          </w:tcPr>
          <w:p w14:paraId="1B95D4ED" w14:textId="77777777" w:rsidR="00046510" w:rsidRPr="00DE51C7" w:rsidRDefault="00046510" w:rsidP="00975C63"/>
        </w:tc>
      </w:tr>
      <w:tr w:rsidR="00046510" w14:paraId="749DD5F6" w14:textId="77777777" w:rsidTr="00D2481E">
        <w:trPr>
          <w:cantSplit w:val="0"/>
        </w:trPr>
        <w:tc>
          <w:tcPr>
            <w:tcW w:w="1484" w:type="dxa"/>
            <w:vMerge/>
          </w:tcPr>
          <w:p w14:paraId="15BECAAA" w14:textId="77777777" w:rsidR="00046510" w:rsidRDefault="00046510" w:rsidP="00975C63">
            <w:pPr>
              <w:rPr>
                <w:b/>
              </w:rPr>
            </w:pPr>
          </w:p>
        </w:tc>
        <w:tc>
          <w:tcPr>
            <w:tcW w:w="1654" w:type="dxa"/>
            <w:vMerge/>
          </w:tcPr>
          <w:p w14:paraId="5371947A" w14:textId="77777777" w:rsidR="00046510" w:rsidRDefault="00046510" w:rsidP="00975C63">
            <w:pPr>
              <w:rPr>
                <w:b/>
              </w:rPr>
            </w:pPr>
          </w:p>
        </w:tc>
        <w:tc>
          <w:tcPr>
            <w:tcW w:w="4394" w:type="dxa"/>
          </w:tcPr>
          <w:p w14:paraId="4759F96A" w14:textId="77777777" w:rsidR="00046510" w:rsidRPr="005D36E7" w:rsidRDefault="00046510" w:rsidP="00975C63">
            <w:pPr>
              <w:rPr>
                <w:b/>
              </w:rPr>
            </w:pPr>
            <w:r>
              <w:rPr>
                <w:b/>
              </w:rPr>
              <w:t xml:space="preserve">Managed: </w:t>
            </w:r>
            <w:r w:rsidR="00D5652E" w:rsidRPr="00D5652E">
              <w:t>Additional processes are explicitly applied to identify when and how choices may be offered or accommodated when appropriate, aligning with DPUP’s good-practice advice.</w:t>
            </w:r>
          </w:p>
        </w:tc>
        <w:tc>
          <w:tcPr>
            <w:tcW w:w="1401" w:type="dxa"/>
            <w:vMerge/>
          </w:tcPr>
          <w:p w14:paraId="61C24354" w14:textId="77777777" w:rsidR="00046510" w:rsidRPr="00DE51C7" w:rsidRDefault="00046510" w:rsidP="00975C63"/>
        </w:tc>
      </w:tr>
      <w:tr w:rsidR="00046510" w14:paraId="75DF9F48" w14:textId="77777777" w:rsidTr="00D2481E">
        <w:trPr>
          <w:cantSplit w:val="0"/>
        </w:trPr>
        <w:tc>
          <w:tcPr>
            <w:tcW w:w="1484" w:type="dxa"/>
            <w:vMerge w:val="restart"/>
          </w:tcPr>
          <w:p w14:paraId="66264683" w14:textId="77777777" w:rsidR="00046510" w:rsidRDefault="00046510" w:rsidP="00975C63">
            <w:pPr>
              <w:rPr>
                <w:b/>
              </w:rPr>
            </w:pPr>
            <w:r>
              <w:rPr>
                <w:b/>
              </w:rPr>
              <w:t>PD1.3</w:t>
            </w:r>
          </w:p>
        </w:tc>
        <w:tc>
          <w:tcPr>
            <w:tcW w:w="1654" w:type="dxa"/>
            <w:vMerge w:val="restart"/>
          </w:tcPr>
          <w:p w14:paraId="656BEB13" w14:textId="77777777" w:rsidR="00046510" w:rsidRDefault="00046510" w:rsidP="00975C63">
            <w:pPr>
              <w:rPr>
                <w:b/>
              </w:rPr>
            </w:pPr>
            <w:r w:rsidRPr="00215770">
              <w:rPr>
                <w:b/>
              </w:rPr>
              <w:t>Reducing personal information</w:t>
            </w:r>
          </w:p>
        </w:tc>
        <w:tc>
          <w:tcPr>
            <w:tcW w:w="4394" w:type="dxa"/>
          </w:tcPr>
          <w:p w14:paraId="78262FC9" w14:textId="77777777" w:rsidR="00046510" w:rsidRDefault="00046510" w:rsidP="00975C63">
            <w:pPr>
              <w:rPr>
                <w:b/>
              </w:rPr>
            </w:pPr>
            <w:r>
              <w:rPr>
                <w:b/>
              </w:rPr>
              <w:t>Informal:</w:t>
            </w:r>
            <w:r>
              <w:t xml:space="preserve"> </w:t>
            </w:r>
            <w:r w:rsidR="00D5652E" w:rsidRPr="00D5652E">
              <w:t>Any steps to reduce or eliminate the need for collection or use of personal information are applied on an ad hoc or reactive basis.</w:t>
            </w:r>
          </w:p>
        </w:tc>
        <w:tc>
          <w:tcPr>
            <w:tcW w:w="1401" w:type="dxa"/>
            <w:vMerge w:val="restart"/>
          </w:tcPr>
          <w:p w14:paraId="6C0423D5" w14:textId="77777777" w:rsidR="00046510" w:rsidRPr="00DE51C7" w:rsidRDefault="00046510" w:rsidP="00975C63">
            <w:pPr>
              <w:jc w:val="center"/>
            </w:pPr>
            <w:r w:rsidRPr="00DE51C7">
              <w:rPr>
                <w:highlight w:val="yellow"/>
              </w:rPr>
              <w:t>Type rating here</w:t>
            </w:r>
          </w:p>
        </w:tc>
      </w:tr>
      <w:tr w:rsidR="00046510" w14:paraId="276A8CA3" w14:textId="77777777" w:rsidTr="00D2481E">
        <w:trPr>
          <w:cantSplit w:val="0"/>
        </w:trPr>
        <w:tc>
          <w:tcPr>
            <w:tcW w:w="1484" w:type="dxa"/>
            <w:vMerge/>
          </w:tcPr>
          <w:p w14:paraId="1EEE8592" w14:textId="77777777" w:rsidR="00046510" w:rsidRDefault="00046510" w:rsidP="00975C63">
            <w:pPr>
              <w:jc w:val="center"/>
              <w:rPr>
                <w:b/>
              </w:rPr>
            </w:pPr>
          </w:p>
        </w:tc>
        <w:tc>
          <w:tcPr>
            <w:tcW w:w="1654" w:type="dxa"/>
            <w:vMerge/>
          </w:tcPr>
          <w:p w14:paraId="3F86E19E" w14:textId="77777777" w:rsidR="00046510" w:rsidRDefault="00046510" w:rsidP="00975C63">
            <w:pPr>
              <w:rPr>
                <w:b/>
              </w:rPr>
            </w:pPr>
          </w:p>
        </w:tc>
        <w:tc>
          <w:tcPr>
            <w:tcW w:w="4394" w:type="dxa"/>
          </w:tcPr>
          <w:p w14:paraId="348A515A" w14:textId="77777777" w:rsidR="00046510" w:rsidRDefault="00F82CAD" w:rsidP="00975C63">
            <w:pPr>
              <w:rPr>
                <w:b/>
              </w:rPr>
            </w:pPr>
            <w:r>
              <w:rPr>
                <w:b/>
              </w:rPr>
              <w:t>Foundational</w:t>
            </w:r>
            <w:r w:rsidR="00046510">
              <w:rPr>
                <w:b/>
              </w:rPr>
              <w:t xml:space="preserve">: </w:t>
            </w:r>
            <w:r w:rsidR="00D5652E" w:rsidRPr="00D5652E">
              <w:t>Steps to reduce or eliminate the need for the collection or use of personal information are taken by individual initiatives. Existing practice is rarely re-examined. It’s generally assumed that if information is being collected, it’s still reasonable to collect it.</w:t>
            </w:r>
          </w:p>
        </w:tc>
        <w:tc>
          <w:tcPr>
            <w:tcW w:w="1401" w:type="dxa"/>
            <w:vMerge/>
          </w:tcPr>
          <w:p w14:paraId="395FB333" w14:textId="77777777" w:rsidR="00046510" w:rsidRDefault="00046510" w:rsidP="00975C63">
            <w:pPr>
              <w:rPr>
                <w:b/>
              </w:rPr>
            </w:pPr>
          </w:p>
        </w:tc>
      </w:tr>
      <w:tr w:rsidR="00046510" w14:paraId="078DCEF5" w14:textId="77777777" w:rsidTr="00D2481E">
        <w:trPr>
          <w:cantSplit w:val="0"/>
        </w:trPr>
        <w:tc>
          <w:tcPr>
            <w:tcW w:w="1484" w:type="dxa"/>
            <w:vMerge/>
          </w:tcPr>
          <w:p w14:paraId="3DA20C47" w14:textId="77777777" w:rsidR="00046510" w:rsidRDefault="00046510" w:rsidP="00975C63">
            <w:pPr>
              <w:rPr>
                <w:b/>
              </w:rPr>
            </w:pPr>
          </w:p>
        </w:tc>
        <w:tc>
          <w:tcPr>
            <w:tcW w:w="1654" w:type="dxa"/>
            <w:vMerge/>
          </w:tcPr>
          <w:p w14:paraId="0CBDC914" w14:textId="77777777" w:rsidR="00046510" w:rsidRDefault="00046510" w:rsidP="00975C63">
            <w:pPr>
              <w:rPr>
                <w:b/>
              </w:rPr>
            </w:pPr>
          </w:p>
        </w:tc>
        <w:tc>
          <w:tcPr>
            <w:tcW w:w="4394" w:type="dxa"/>
          </w:tcPr>
          <w:p w14:paraId="67D7AA1A" w14:textId="77777777" w:rsidR="00046510" w:rsidRDefault="00046510" w:rsidP="00975C63">
            <w:pPr>
              <w:rPr>
                <w:b/>
              </w:rPr>
            </w:pPr>
            <w:r>
              <w:rPr>
                <w:b/>
              </w:rPr>
              <w:t xml:space="preserve">Managed: </w:t>
            </w:r>
            <w:r w:rsidR="00D5652E" w:rsidRPr="00D5652E">
              <w:t>When creating or updating a service or process, consideration is given to eliminating or reducing the need for personal information by ensuring that its collection, use and sharing are needed to accomplish the stated outcomes. Existing practice is not used as a justification for continued collection and use.</w:t>
            </w:r>
          </w:p>
        </w:tc>
        <w:tc>
          <w:tcPr>
            <w:tcW w:w="1401" w:type="dxa"/>
            <w:vMerge/>
          </w:tcPr>
          <w:p w14:paraId="57A59D3B" w14:textId="77777777" w:rsidR="00046510" w:rsidRDefault="00046510" w:rsidP="00975C63">
            <w:pPr>
              <w:rPr>
                <w:b/>
              </w:rPr>
            </w:pPr>
          </w:p>
        </w:tc>
      </w:tr>
      <w:tr w:rsidR="00AE3790" w14:paraId="137106EF" w14:textId="77777777" w:rsidTr="00E50C58">
        <w:trPr>
          <w:cantSplit w:val="0"/>
        </w:trPr>
        <w:tc>
          <w:tcPr>
            <w:tcW w:w="1484" w:type="dxa"/>
          </w:tcPr>
          <w:p w14:paraId="66493D68" w14:textId="77777777" w:rsidR="00AE3790" w:rsidRDefault="00AE3790" w:rsidP="00AE3790">
            <w:pPr>
              <w:rPr>
                <w:b/>
              </w:rPr>
            </w:pPr>
            <w:r>
              <w:rPr>
                <w:b/>
              </w:rPr>
              <w:t>Context</w:t>
            </w:r>
            <w:r w:rsidRPr="00E93801">
              <w:rPr>
                <w:b/>
              </w:rPr>
              <w:t>:</w:t>
            </w:r>
          </w:p>
        </w:tc>
        <w:tc>
          <w:tcPr>
            <w:tcW w:w="7449" w:type="dxa"/>
            <w:gridSpan w:val="3"/>
          </w:tcPr>
          <w:p w14:paraId="22C5A5A9" w14:textId="77777777" w:rsidR="00AE3790" w:rsidRPr="00D73E5B" w:rsidRDefault="00AE3790" w:rsidP="00AE3790">
            <w:r w:rsidRPr="004B205D">
              <w:rPr>
                <w:highlight w:val="yellow"/>
              </w:rPr>
              <w:t>(insert comment here)</w:t>
            </w:r>
          </w:p>
        </w:tc>
      </w:tr>
      <w:tr w:rsidR="00AE3790" w14:paraId="50C043DC" w14:textId="77777777" w:rsidTr="00E50C58">
        <w:trPr>
          <w:cantSplit w:val="0"/>
        </w:trPr>
        <w:tc>
          <w:tcPr>
            <w:tcW w:w="1484" w:type="dxa"/>
          </w:tcPr>
          <w:p w14:paraId="7223BDB0" w14:textId="77777777" w:rsidR="00AE3790" w:rsidRDefault="00AE3790" w:rsidP="00AE3790">
            <w:pPr>
              <w:rPr>
                <w:b/>
              </w:rPr>
            </w:pPr>
            <w:r>
              <w:rPr>
                <w:b/>
              </w:rPr>
              <w:t>Achievement:</w:t>
            </w:r>
          </w:p>
        </w:tc>
        <w:tc>
          <w:tcPr>
            <w:tcW w:w="7449" w:type="dxa"/>
            <w:gridSpan w:val="3"/>
          </w:tcPr>
          <w:p w14:paraId="6030F1FC" w14:textId="77777777" w:rsidR="00AE3790" w:rsidRPr="004B205D" w:rsidRDefault="00AE3790" w:rsidP="00AE3790">
            <w:pPr>
              <w:rPr>
                <w:highlight w:val="yellow"/>
              </w:rPr>
            </w:pPr>
            <w:r w:rsidRPr="004B205D">
              <w:rPr>
                <w:highlight w:val="yellow"/>
              </w:rPr>
              <w:t>(insert comment here)</w:t>
            </w:r>
          </w:p>
        </w:tc>
      </w:tr>
      <w:tr w:rsidR="00AE3790" w14:paraId="7FFEEC8C" w14:textId="77777777" w:rsidTr="00E50C58">
        <w:trPr>
          <w:cantSplit w:val="0"/>
        </w:trPr>
        <w:tc>
          <w:tcPr>
            <w:tcW w:w="1484" w:type="dxa"/>
          </w:tcPr>
          <w:p w14:paraId="7AF83DAA" w14:textId="77777777" w:rsidR="00AE3790" w:rsidRDefault="00AE3790" w:rsidP="00AE3790">
            <w:pPr>
              <w:rPr>
                <w:b/>
              </w:rPr>
            </w:pPr>
            <w:r>
              <w:rPr>
                <w:b/>
              </w:rPr>
              <w:t>Future focus:</w:t>
            </w:r>
          </w:p>
        </w:tc>
        <w:tc>
          <w:tcPr>
            <w:tcW w:w="7449" w:type="dxa"/>
            <w:gridSpan w:val="3"/>
          </w:tcPr>
          <w:p w14:paraId="20628E6F" w14:textId="77777777" w:rsidR="00AE3790" w:rsidRPr="004B205D" w:rsidRDefault="00AE3790" w:rsidP="00AE3790">
            <w:pPr>
              <w:rPr>
                <w:highlight w:val="yellow"/>
              </w:rPr>
            </w:pPr>
            <w:r w:rsidRPr="004B205D">
              <w:rPr>
                <w:highlight w:val="yellow"/>
              </w:rPr>
              <w:t>(insert comment here)</w:t>
            </w:r>
          </w:p>
        </w:tc>
      </w:tr>
      <w:tr w:rsidR="00AE3790" w14:paraId="155220B6" w14:textId="77777777" w:rsidTr="00E50C58">
        <w:trPr>
          <w:cantSplit w:val="0"/>
        </w:trPr>
        <w:tc>
          <w:tcPr>
            <w:tcW w:w="1484" w:type="dxa"/>
          </w:tcPr>
          <w:p w14:paraId="71C5A7D9" w14:textId="77777777" w:rsidR="00AE3790" w:rsidRDefault="00AE3790" w:rsidP="00AE3790">
            <w:pPr>
              <w:rPr>
                <w:b/>
              </w:rPr>
            </w:pPr>
            <w:r>
              <w:rPr>
                <w:b/>
              </w:rPr>
              <w:t>Challenge:</w:t>
            </w:r>
          </w:p>
        </w:tc>
        <w:tc>
          <w:tcPr>
            <w:tcW w:w="7449" w:type="dxa"/>
            <w:gridSpan w:val="3"/>
          </w:tcPr>
          <w:p w14:paraId="46C52CBD" w14:textId="77777777" w:rsidR="00AE3790" w:rsidRPr="004B205D" w:rsidRDefault="00AE3790" w:rsidP="00AE3790">
            <w:pPr>
              <w:rPr>
                <w:highlight w:val="yellow"/>
              </w:rPr>
            </w:pPr>
            <w:r w:rsidRPr="004B205D">
              <w:rPr>
                <w:highlight w:val="yellow"/>
              </w:rPr>
              <w:t>(insert comment here)</w:t>
            </w:r>
          </w:p>
        </w:tc>
      </w:tr>
    </w:tbl>
    <w:p w14:paraId="0ABD95A0" w14:textId="77777777" w:rsidR="00975C63" w:rsidRDefault="00975C63" w:rsidP="00975C63"/>
    <w:tbl>
      <w:tblPr>
        <w:tblStyle w:val="DIATable"/>
        <w:tblW w:w="0" w:type="auto"/>
        <w:tblLook w:val="04A0" w:firstRow="1" w:lastRow="0" w:firstColumn="1" w:lastColumn="0" w:noHBand="0" w:noVBand="1"/>
      </w:tblPr>
      <w:tblGrid>
        <w:gridCol w:w="1484"/>
        <w:gridCol w:w="1654"/>
        <w:gridCol w:w="4394"/>
        <w:gridCol w:w="1401"/>
      </w:tblGrid>
      <w:tr w:rsidR="00B75FA3" w14:paraId="7AEB7102" w14:textId="77777777" w:rsidTr="00C5698E">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7030A0"/>
          </w:tcPr>
          <w:p w14:paraId="2621D4BF" w14:textId="77777777" w:rsidR="00B75FA3" w:rsidRPr="00CA0554" w:rsidRDefault="00B75FA3" w:rsidP="00F82CAD">
            <w:pPr>
              <w:rPr>
                <w:b w:val="0"/>
              </w:rPr>
            </w:pPr>
            <w:r>
              <w:t>Privacy domains 2</w:t>
            </w:r>
            <w:r w:rsidRPr="00D73E5B">
              <w:t xml:space="preserve">: </w:t>
            </w:r>
            <w:r w:rsidRPr="00D5652E">
              <w:t>Ensure the use and storage of personal information protects against inappropriate access, use and modification, while also ensuring effective and efficient support for its intended use.</w:t>
            </w:r>
          </w:p>
        </w:tc>
      </w:tr>
      <w:tr w:rsidR="002F47F7" w14:paraId="5AF13227" w14:textId="77777777" w:rsidTr="00D2481E">
        <w:trPr>
          <w:cantSplit w:val="0"/>
        </w:trPr>
        <w:tc>
          <w:tcPr>
            <w:tcW w:w="1484" w:type="dxa"/>
            <w:vMerge w:val="restart"/>
          </w:tcPr>
          <w:p w14:paraId="355B60D3" w14:textId="77777777" w:rsidR="002F47F7" w:rsidRDefault="002F47F7" w:rsidP="002F47F7">
            <w:pPr>
              <w:rPr>
                <w:b/>
              </w:rPr>
            </w:pPr>
            <w:r>
              <w:rPr>
                <w:b/>
              </w:rPr>
              <w:t>PD2.1</w:t>
            </w:r>
          </w:p>
        </w:tc>
        <w:tc>
          <w:tcPr>
            <w:tcW w:w="1654" w:type="dxa"/>
            <w:vMerge w:val="restart"/>
          </w:tcPr>
          <w:p w14:paraId="0D9E4550" w14:textId="77777777" w:rsidR="002F47F7" w:rsidRDefault="002F47F7" w:rsidP="002F47F7">
            <w:pPr>
              <w:rPr>
                <w:b/>
              </w:rPr>
            </w:pPr>
            <w:r w:rsidRPr="00215770">
              <w:rPr>
                <w:b/>
              </w:rPr>
              <w:t>Implementing Privacy by Design</w:t>
            </w:r>
          </w:p>
        </w:tc>
        <w:tc>
          <w:tcPr>
            <w:tcW w:w="4394" w:type="dxa"/>
          </w:tcPr>
          <w:p w14:paraId="0BD5CC8E" w14:textId="77777777" w:rsidR="002F47F7" w:rsidRPr="005D36E7" w:rsidRDefault="002F47F7" w:rsidP="002F47F7">
            <w:pPr>
              <w:rPr>
                <w:b/>
              </w:rPr>
            </w:pPr>
            <w:r>
              <w:rPr>
                <w:b/>
              </w:rPr>
              <w:t xml:space="preserve">Informal: </w:t>
            </w:r>
            <w:r w:rsidRPr="00D5652E">
              <w:t>Privacy, ICT, information management and other responsible teams work in silos when building and updating processes, products and services.</w:t>
            </w:r>
          </w:p>
        </w:tc>
        <w:tc>
          <w:tcPr>
            <w:tcW w:w="1401" w:type="dxa"/>
            <w:vMerge w:val="restart"/>
          </w:tcPr>
          <w:p w14:paraId="241529CC" w14:textId="77777777" w:rsidR="002F47F7" w:rsidRPr="00DE51C7" w:rsidRDefault="002F47F7" w:rsidP="002F47F7">
            <w:pPr>
              <w:jc w:val="center"/>
            </w:pPr>
            <w:r w:rsidRPr="00DE51C7">
              <w:rPr>
                <w:highlight w:val="yellow"/>
              </w:rPr>
              <w:t>Type rating here</w:t>
            </w:r>
          </w:p>
        </w:tc>
      </w:tr>
      <w:tr w:rsidR="002F47F7" w14:paraId="1EC2A327" w14:textId="77777777" w:rsidTr="00D2481E">
        <w:trPr>
          <w:cantSplit w:val="0"/>
        </w:trPr>
        <w:tc>
          <w:tcPr>
            <w:tcW w:w="1484" w:type="dxa"/>
            <w:vMerge/>
          </w:tcPr>
          <w:p w14:paraId="721DE119" w14:textId="77777777" w:rsidR="002F47F7" w:rsidRDefault="002F47F7" w:rsidP="002F47F7">
            <w:pPr>
              <w:jc w:val="center"/>
              <w:rPr>
                <w:b/>
              </w:rPr>
            </w:pPr>
          </w:p>
        </w:tc>
        <w:tc>
          <w:tcPr>
            <w:tcW w:w="1654" w:type="dxa"/>
            <w:vMerge/>
          </w:tcPr>
          <w:p w14:paraId="7F51819A" w14:textId="77777777" w:rsidR="002F47F7" w:rsidRDefault="002F47F7" w:rsidP="002F47F7">
            <w:pPr>
              <w:rPr>
                <w:b/>
              </w:rPr>
            </w:pPr>
          </w:p>
        </w:tc>
        <w:tc>
          <w:tcPr>
            <w:tcW w:w="4394" w:type="dxa"/>
          </w:tcPr>
          <w:p w14:paraId="74E5E528" w14:textId="77777777" w:rsidR="002F47F7" w:rsidRDefault="00F82CAD" w:rsidP="002F47F7">
            <w:pPr>
              <w:rPr>
                <w:b/>
              </w:rPr>
            </w:pPr>
            <w:r>
              <w:rPr>
                <w:b/>
              </w:rPr>
              <w:t>Foundational</w:t>
            </w:r>
            <w:r w:rsidR="002F47F7">
              <w:rPr>
                <w:b/>
              </w:rPr>
              <w:t xml:space="preserve">: </w:t>
            </w:r>
            <w:r w:rsidR="002F47F7" w:rsidRPr="00D5652E">
              <w:t>Privacy, ICT, information management and other responsible teams have limited engagement when building and updating processes, products and services.</w:t>
            </w:r>
          </w:p>
        </w:tc>
        <w:tc>
          <w:tcPr>
            <w:tcW w:w="1401" w:type="dxa"/>
            <w:vMerge/>
          </w:tcPr>
          <w:p w14:paraId="3295253F" w14:textId="77777777" w:rsidR="002F47F7" w:rsidRPr="00DE51C7" w:rsidRDefault="002F47F7" w:rsidP="002F47F7"/>
        </w:tc>
      </w:tr>
      <w:tr w:rsidR="002F47F7" w14:paraId="68E69EE3" w14:textId="77777777" w:rsidTr="00D2481E">
        <w:trPr>
          <w:cantSplit w:val="0"/>
        </w:trPr>
        <w:tc>
          <w:tcPr>
            <w:tcW w:w="1484" w:type="dxa"/>
            <w:vMerge/>
          </w:tcPr>
          <w:p w14:paraId="2BF9CAAA" w14:textId="77777777" w:rsidR="002F47F7" w:rsidRDefault="002F47F7" w:rsidP="002F47F7">
            <w:pPr>
              <w:rPr>
                <w:b/>
              </w:rPr>
            </w:pPr>
          </w:p>
        </w:tc>
        <w:tc>
          <w:tcPr>
            <w:tcW w:w="1654" w:type="dxa"/>
            <w:vMerge/>
          </w:tcPr>
          <w:p w14:paraId="28E097C7" w14:textId="77777777" w:rsidR="002F47F7" w:rsidRDefault="002F47F7" w:rsidP="002F47F7">
            <w:pPr>
              <w:rPr>
                <w:b/>
              </w:rPr>
            </w:pPr>
          </w:p>
        </w:tc>
        <w:tc>
          <w:tcPr>
            <w:tcW w:w="4394" w:type="dxa"/>
          </w:tcPr>
          <w:p w14:paraId="4B2B73BA" w14:textId="77777777" w:rsidR="002F47F7" w:rsidRDefault="002F47F7" w:rsidP="002F47F7">
            <w:pPr>
              <w:rPr>
                <w:b/>
              </w:rPr>
            </w:pPr>
            <w:r>
              <w:rPr>
                <w:b/>
              </w:rPr>
              <w:t xml:space="preserve">Managed: </w:t>
            </w:r>
            <w:r w:rsidRPr="00D5652E">
              <w:t>Privacy, ICT, information management and other responsible teams work together to incorporate Privacy by Design methodology and principles when building and updating processes, products and services.</w:t>
            </w:r>
          </w:p>
        </w:tc>
        <w:tc>
          <w:tcPr>
            <w:tcW w:w="1401" w:type="dxa"/>
            <w:vMerge/>
          </w:tcPr>
          <w:p w14:paraId="5D037684" w14:textId="77777777" w:rsidR="002F47F7" w:rsidRPr="00DE51C7" w:rsidRDefault="002F47F7" w:rsidP="002F47F7"/>
        </w:tc>
      </w:tr>
      <w:tr w:rsidR="002F47F7" w14:paraId="055CADFC" w14:textId="77777777" w:rsidTr="00D2481E">
        <w:trPr>
          <w:cantSplit w:val="0"/>
        </w:trPr>
        <w:tc>
          <w:tcPr>
            <w:tcW w:w="1484" w:type="dxa"/>
            <w:vMerge w:val="restart"/>
          </w:tcPr>
          <w:p w14:paraId="726A4ABF" w14:textId="77777777" w:rsidR="002F47F7" w:rsidRDefault="002F47F7" w:rsidP="002F47F7">
            <w:pPr>
              <w:rPr>
                <w:b/>
              </w:rPr>
            </w:pPr>
            <w:r>
              <w:rPr>
                <w:b/>
              </w:rPr>
              <w:t>PD2.2</w:t>
            </w:r>
          </w:p>
        </w:tc>
        <w:tc>
          <w:tcPr>
            <w:tcW w:w="1654" w:type="dxa"/>
            <w:vMerge w:val="restart"/>
          </w:tcPr>
          <w:p w14:paraId="72C26AE2" w14:textId="77777777" w:rsidR="002F47F7" w:rsidRDefault="002F47F7" w:rsidP="002F47F7">
            <w:pPr>
              <w:rPr>
                <w:b/>
              </w:rPr>
            </w:pPr>
            <w:r w:rsidRPr="00215770">
              <w:rPr>
                <w:b/>
              </w:rPr>
              <w:t>Implementing privacy engineering</w:t>
            </w:r>
          </w:p>
        </w:tc>
        <w:tc>
          <w:tcPr>
            <w:tcW w:w="4394" w:type="dxa"/>
          </w:tcPr>
          <w:p w14:paraId="278B56B7" w14:textId="77777777" w:rsidR="002F47F7" w:rsidRDefault="002F47F7" w:rsidP="002F47F7">
            <w:pPr>
              <w:rPr>
                <w:b/>
              </w:rPr>
            </w:pPr>
            <w:bookmarkStart w:id="1" w:name="_Hlk92789933"/>
            <w:r>
              <w:rPr>
                <w:b/>
              </w:rPr>
              <w:t xml:space="preserve">Informal: </w:t>
            </w:r>
            <w:r w:rsidRPr="00D5652E">
              <w:t>Privacy and ICT staff have no knowledge and understanding of using privacy engineering to address privacy considerations.</w:t>
            </w:r>
            <w:bookmarkEnd w:id="1"/>
          </w:p>
        </w:tc>
        <w:tc>
          <w:tcPr>
            <w:tcW w:w="1401" w:type="dxa"/>
            <w:vMerge w:val="restart"/>
          </w:tcPr>
          <w:p w14:paraId="278A72A3" w14:textId="77777777" w:rsidR="002F47F7" w:rsidRPr="00DE51C7" w:rsidRDefault="002F47F7" w:rsidP="002F47F7">
            <w:pPr>
              <w:jc w:val="center"/>
            </w:pPr>
            <w:r w:rsidRPr="00DE51C7">
              <w:rPr>
                <w:highlight w:val="yellow"/>
              </w:rPr>
              <w:t>Type rating here</w:t>
            </w:r>
          </w:p>
        </w:tc>
      </w:tr>
      <w:tr w:rsidR="002F47F7" w14:paraId="33556FCD" w14:textId="77777777" w:rsidTr="00D2481E">
        <w:trPr>
          <w:cantSplit w:val="0"/>
        </w:trPr>
        <w:tc>
          <w:tcPr>
            <w:tcW w:w="1484" w:type="dxa"/>
            <w:vMerge/>
          </w:tcPr>
          <w:p w14:paraId="4F8B5D0F" w14:textId="77777777" w:rsidR="002F47F7" w:rsidRDefault="002F47F7" w:rsidP="002F47F7">
            <w:pPr>
              <w:jc w:val="center"/>
              <w:rPr>
                <w:b/>
              </w:rPr>
            </w:pPr>
          </w:p>
        </w:tc>
        <w:tc>
          <w:tcPr>
            <w:tcW w:w="1654" w:type="dxa"/>
            <w:vMerge/>
          </w:tcPr>
          <w:p w14:paraId="307DF15A" w14:textId="77777777" w:rsidR="002F47F7" w:rsidRDefault="002F47F7" w:rsidP="002F47F7">
            <w:pPr>
              <w:rPr>
                <w:b/>
              </w:rPr>
            </w:pPr>
          </w:p>
        </w:tc>
        <w:tc>
          <w:tcPr>
            <w:tcW w:w="4394" w:type="dxa"/>
          </w:tcPr>
          <w:p w14:paraId="6AA0C88F" w14:textId="77777777" w:rsidR="002F47F7" w:rsidRDefault="00F82CAD" w:rsidP="002F47F7">
            <w:pPr>
              <w:rPr>
                <w:b/>
              </w:rPr>
            </w:pPr>
            <w:r>
              <w:rPr>
                <w:b/>
              </w:rPr>
              <w:t>Foundational</w:t>
            </w:r>
            <w:r w:rsidR="002F47F7">
              <w:rPr>
                <w:b/>
              </w:rPr>
              <w:t xml:space="preserve">: </w:t>
            </w:r>
            <w:r w:rsidR="002F47F7" w:rsidRPr="00D5652E">
              <w:t>Privacy, ICT and digital teams may have some knowledge and understanding of using privacy engineering to address privacy considerations. When building and updating processes, products and services, individual initiatives work with privacy, ICT and digital teams to incorporate privacy engineering and privacy design strategies.</w:t>
            </w:r>
          </w:p>
        </w:tc>
        <w:tc>
          <w:tcPr>
            <w:tcW w:w="1401" w:type="dxa"/>
            <w:vMerge/>
          </w:tcPr>
          <w:p w14:paraId="353AFF00" w14:textId="77777777" w:rsidR="002F47F7" w:rsidRPr="00DE51C7" w:rsidRDefault="002F47F7" w:rsidP="002F47F7"/>
        </w:tc>
      </w:tr>
      <w:tr w:rsidR="002F47F7" w14:paraId="55155C37" w14:textId="77777777" w:rsidTr="00D2481E">
        <w:trPr>
          <w:cantSplit w:val="0"/>
        </w:trPr>
        <w:tc>
          <w:tcPr>
            <w:tcW w:w="1484" w:type="dxa"/>
            <w:vMerge/>
          </w:tcPr>
          <w:p w14:paraId="6FAEEC47" w14:textId="77777777" w:rsidR="002F47F7" w:rsidRDefault="002F47F7" w:rsidP="002F47F7">
            <w:pPr>
              <w:rPr>
                <w:b/>
              </w:rPr>
            </w:pPr>
          </w:p>
        </w:tc>
        <w:tc>
          <w:tcPr>
            <w:tcW w:w="1654" w:type="dxa"/>
            <w:vMerge/>
          </w:tcPr>
          <w:p w14:paraId="24AB53B6" w14:textId="77777777" w:rsidR="002F47F7" w:rsidRDefault="002F47F7" w:rsidP="002F47F7">
            <w:pPr>
              <w:rPr>
                <w:b/>
              </w:rPr>
            </w:pPr>
          </w:p>
        </w:tc>
        <w:tc>
          <w:tcPr>
            <w:tcW w:w="4394" w:type="dxa"/>
          </w:tcPr>
          <w:p w14:paraId="5BB72097" w14:textId="77777777" w:rsidR="002F47F7" w:rsidRDefault="002F47F7" w:rsidP="002F47F7">
            <w:pPr>
              <w:rPr>
                <w:b/>
              </w:rPr>
            </w:pPr>
            <w:r>
              <w:rPr>
                <w:b/>
              </w:rPr>
              <w:t xml:space="preserve">Managed: </w:t>
            </w:r>
            <w:r w:rsidRPr="00D5652E">
              <w:t>Privacy, ICT and digital teams have sufficient knowledge and understanding of using privacy engineering to address privacy considerations. When building and updating processes, products and services, privacy, ICT and digital teams work together to incorporate privacy engineering.</w:t>
            </w:r>
          </w:p>
        </w:tc>
        <w:tc>
          <w:tcPr>
            <w:tcW w:w="1401" w:type="dxa"/>
            <w:vMerge/>
          </w:tcPr>
          <w:p w14:paraId="1B6A38E5" w14:textId="77777777" w:rsidR="002F47F7" w:rsidRPr="00DE51C7" w:rsidRDefault="002F47F7" w:rsidP="002F47F7"/>
        </w:tc>
      </w:tr>
      <w:tr w:rsidR="00B75FA3" w14:paraId="0704C1E1" w14:textId="77777777" w:rsidTr="00D2481E">
        <w:trPr>
          <w:cantSplit w:val="0"/>
        </w:trPr>
        <w:tc>
          <w:tcPr>
            <w:tcW w:w="1484" w:type="dxa"/>
            <w:vMerge w:val="restart"/>
          </w:tcPr>
          <w:p w14:paraId="2F7F9E92" w14:textId="77777777" w:rsidR="00B75FA3" w:rsidRDefault="00B75FA3" w:rsidP="00F82CAD">
            <w:pPr>
              <w:rPr>
                <w:b/>
              </w:rPr>
            </w:pPr>
            <w:r>
              <w:rPr>
                <w:b/>
              </w:rPr>
              <w:t>PD2.3</w:t>
            </w:r>
          </w:p>
        </w:tc>
        <w:tc>
          <w:tcPr>
            <w:tcW w:w="1654" w:type="dxa"/>
            <w:vMerge w:val="restart"/>
          </w:tcPr>
          <w:p w14:paraId="4DF312CB" w14:textId="77777777" w:rsidR="00B75FA3" w:rsidRDefault="002F47F7" w:rsidP="00F82CAD">
            <w:pPr>
              <w:rPr>
                <w:b/>
              </w:rPr>
            </w:pPr>
            <w:r>
              <w:rPr>
                <w:b/>
              </w:rPr>
              <w:t>Responding to high public interest</w:t>
            </w:r>
          </w:p>
        </w:tc>
        <w:tc>
          <w:tcPr>
            <w:tcW w:w="4394" w:type="dxa"/>
          </w:tcPr>
          <w:p w14:paraId="0124C1BA" w14:textId="77777777" w:rsidR="00B75FA3" w:rsidRDefault="002F47F7" w:rsidP="002F47F7">
            <w:pPr>
              <w:rPr>
                <w:b/>
              </w:rPr>
            </w:pPr>
            <w:r w:rsidRPr="002F47F7">
              <w:rPr>
                <w:b/>
              </w:rPr>
              <w:t>Informal</w:t>
            </w:r>
            <w:r>
              <w:rPr>
                <w:b/>
              </w:rPr>
              <w:t xml:space="preserve">: </w:t>
            </w:r>
            <w:r w:rsidRPr="002F47F7">
              <w:t>When considering or piloting uses of personal information that would attract high public interest, such as biometrics or automated decision-making, policies and practices are reactive and non-specific.</w:t>
            </w:r>
          </w:p>
        </w:tc>
        <w:tc>
          <w:tcPr>
            <w:tcW w:w="1401" w:type="dxa"/>
            <w:vMerge w:val="restart"/>
          </w:tcPr>
          <w:p w14:paraId="7A28B716" w14:textId="77777777" w:rsidR="00B75FA3" w:rsidRPr="00DE51C7" w:rsidRDefault="00B75FA3" w:rsidP="00F82CAD">
            <w:pPr>
              <w:jc w:val="center"/>
            </w:pPr>
            <w:r w:rsidRPr="00DE51C7">
              <w:rPr>
                <w:highlight w:val="yellow"/>
              </w:rPr>
              <w:t>Type rating here</w:t>
            </w:r>
          </w:p>
        </w:tc>
      </w:tr>
      <w:tr w:rsidR="00B75FA3" w14:paraId="5D7216C3" w14:textId="77777777" w:rsidTr="00D2481E">
        <w:trPr>
          <w:cantSplit w:val="0"/>
        </w:trPr>
        <w:tc>
          <w:tcPr>
            <w:tcW w:w="1484" w:type="dxa"/>
            <w:vMerge/>
          </w:tcPr>
          <w:p w14:paraId="5C8E8F8E" w14:textId="77777777" w:rsidR="00B75FA3" w:rsidRDefault="00B75FA3" w:rsidP="005D36E7">
            <w:pPr>
              <w:jc w:val="center"/>
              <w:rPr>
                <w:b/>
              </w:rPr>
            </w:pPr>
          </w:p>
        </w:tc>
        <w:tc>
          <w:tcPr>
            <w:tcW w:w="1654" w:type="dxa"/>
            <w:vMerge/>
          </w:tcPr>
          <w:p w14:paraId="64262AFA" w14:textId="77777777" w:rsidR="00B75FA3" w:rsidRDefault="00B75FA3" w:rsidP="00F82CAD">
            <w:pPr>
              <w:rPr>
                <w:b/>
              </w:rPr>
            </w:pPr>
          </w:p>
        </w:tc>
        <w:tc>
          <w:tcPr>
            <w:tcW w:w="4394" w:type="dxa"/>
          </w:tcPr>
          <w:p w14:paraId="274BA458" w14:textId="77777777" w:rsidR="00B75FA3" w:rsidRPr="005D36E7" w:rsidRDefault="002F47F7" w:rsidP="002F47F7">
            <w:pPr>
              <w:rPr>
                <w:b/>
              </w:rPr>
            </w:pPr>
            <w:r w:rsidRPr="002F47F7">
              <w:rPr>
                <w:b/>
              </w:rPr>
              <w:t>Foundational</w:t>
            </w:r>
            <w:r>
              <w:rPr>
                <w:b/>
              </w:rPr>
              <w:t xml:space="preserve">: </w:t>
            </w:r>
            <w:r w:rsidRPr="002F47F7">
              <w:t>When considering or piloting uses of personal information that would attract high public interest, such as biometrics or automated decision-making, existing policies and practices have been adapted by individual initiatives to consider such forms of use.</w:t>
            </w:r>
          </w:p>
        </w:tc>
        <w:tc>
          <w:tcPr>
            <w:tcW w:w="1401" w:type="dxa"/>
            <w:vMerge/>
          </w:tcPr>
          <w:p w14:paraId="1BEC908C" w14:textId="77777777" w:rsidR="00B75FA3" w:rsidRDefault="00B75FA3" w:rsidP="00F82CAD">
            <w:pPr>
              <w:rPr>
                <w:b/>
              </w:rPr>
            </w:pPr>
          </w:p>
        </w:tc>
      </w:tr>
      <w:tr w:rsidR="00B75FA3" w14:paraId="6B9F3003" w14:textId="77777777" w:rsidTr="00D2481E">
        <w:trPr>
          <w:cantSplit w:val="0"/>
        </w:trPr>
        <w:tc>
          <w:tcPr>
            <w:tcW w:w="1484" w:type="dxa"/>
            <w:vMerge/>
          </w:tcPr>
          <w:p w14:paraId="7CE010C0" w14:textId="77777777" w:rsidR="00B75FA3" w:rsidRDefault="00B75FA3" w:rsidP="00F82CAD">
            <w:pPr>
              <w:rPr>
                <w:b/>
              </w:rPr>
            </w:pPr>
          </w:p>
        </w:tc>
        <w:tc>
          <w:tcPr>
            <w:tcW w:w="1654" w:type="dxa"/>
            <w:vMerge/>
          </w:tcPr>
          <w:p w14:paraId="3AEF94C1" w14:textId="77777777" w:rsidR="00B75FA3" w:rsidRDefault="00B75FA3" w:rsidP="00F82CAD">
            <w:pPr>
              <w:rPr>
                <w:b/>
              </w:rPr>
            </w:pPr>
          </w:p>
        </w:tc>
        <w:tc>
          <w:tcPr>
            <w:tcW w:w="4394" w:type="dxa"/>
          </w:tcPr>
          <w:p w14:paraId="142A8576" w14:textId="77777777" w:rsidR="00B75FA3" w:rsidRPr="005D36E7" w:rsidRDefault="002F47F7" w:rsidP="005D36E7">
            <w:pPr>
              <w:tabs>
                <w:tab w:val="left" w:pos="795"/>
              </w:tabs>
              <w:rPr>
                <w:b/>
              </w:rPr>
            </w:pPr>
            <w:r w:rsidRPr="002F47F7">
              <w:rPr>
                <w:b/>
              </w:rPr>
              <w:t>Managed</w:t>
            </w:r>
            <w:r>
              <w:rPr>
                <w:b/>
              </w:rPr>
              <w:t xml:space="preserve">: </w:t>
            </w:r>
            <w:r w:rsidRPr="002F47F7">
              <w:t>When considering or piloting uses of personal information that would attract high public interest, such as biometrics or automated decision-making, specific policies and practices have been developed or identified to address concerns and consideration of such forms of use.</w:t>
            </w:r>
            <w:r>
              <w:rPr>
                <w:b/>
              </w:rPr>
              <w:tab/>
            </w:r>
          </w:p>
        </w:tc>
        <w:tc>
          <w:tcPr>
            <w:tcW w:w="1401" w:type="dxa"/>
            <w:vMerge/>
          </w:tcPr>
          <w:p w14:paraId="3E4EAF13" w14:textId="77777777" w:rsidR="00B75FA3" w:rsidRDefault="00B75FA3" w:rsidP="00F82CAD">
            <w:pPr>
              <w:rPr>
                <w:b/>
              </w:rPr>
            </w:pPr>
          </w:p>
        </w:tc>
      </w:tr>
      <w:tr w:rsidR="00AE3790" w14:paraId="05ED2D83" w14:textId="77777777" w:rsidTr="00E50C58">
        <w:trPr>
          <w:cantSplit w:val="0"/>
        </w:trPr>
        <w:tc>
          <w:tcPr>
            <w:tcW w:w="1484" w:type="dxa"/>
          </w:tcPr>
          <w:p w14:paraId="5501C133" w14:textId="77777777" w:rsidR="00AE3790" w:rsidRDefault="00AE3790" w:rsidP="00AE3790">
            <w:pPr>
              <w:rPr>
                <w:b/>
              </w:rPr>
            </w:pPr>
            <w:r>
              <w:rPr>
                <w:b/>
              </w:rPr>
              <w:t>Context</w:t>
            </w:r>
            <w:r w:rsidRPr="00E93801">
              <w:rPr>
                <w:b/>
              </w:rPr>
              <w:t>:</w:t>
            </w:r>
          </w:p>
        </w:tc>
        <w:tc>
          <w:tcPr>
            <w:tcW w:w="7449" w:type="dxa"/>
            <w:gridSpan w:val="3"/>
          </w:tcPr>
          <w:p w14:paraId="3F5DA0C3" w14:textId="77777777" w:rsidR="00AE3790" w:rsidRPr="00D73E5B" w:rsidRDefault="00AE3790" w:rsidP="00AE3790">
            <w:r w:rsidRPr="004B205D">
              <w:rPr>
                <w:highlight w:val="yellow"/>
              </w:rPr>
              <w:t>(insert comment here)</w:t>
            </w:r>
          </w:p>
        </w:tc>
      </w:tr>
      <w:tr w:rsidR="00AE3790" w14:paraId="4D3F8B02" w14:textId="77777777" w:rsidTr="00E50C58">
        <w:trPr>
          <w:cantSplit w:val="0"/>
        </w:trPr>
        <w:tc>
          <w:tcPr>
            <w:tcW w:w="1484" w:type="dxa"/>
          </w:tcPr>
          <w:p w14:paraId="76F7B7CE" w14:textId="77777777" w:rsidR="00AE3790" w:rsidRDefault="00AE3790" w:rsidP="00AE3790">
            <w:pPr>
              <w:rPr>
                <w:b/>
              </w:rPr>
            </w:pPr>
            <w:r>
              <w:rPr>
                <w:b/>
              </w:rPr>
              <w:t>Achievement:</w:t>
            </w:r>
          </w:p>
        </w:tc>
        <w:tc>
          <w:tcPr>
            <w:tcW w:w="7449" w:type="dxa"/>
            <w:gridSpan w:val="3"/>
          </w:tcPr>
          <w:p w14:paraId="1853430A" w14:textId="77777777" w:rsidR="00AE3790" w:rsidRPr="004B205D" w:rsidRDefault="00AE3790" w:rsidP="00AE3790">
            <w:pPr>
              <w:rPr>
                <w:highlight w:val="yellow"/>
              </w:rPr>
            </w:pPr>
            <w:r w:rsidRPr="004B205D">
              <w:rPr>
                <w:highlight w:val="yellow"/>
              </w:rPr>
              <w:t>(insert comment here)</w:t>
            </w:r>
          </w:p>
        </w:tc>
      </w:tr>
      <w:tr w:rsidR="00AE3790" w14:paraId="48F89094" w14:textId="77777777" w:rsidTr="00E50C58">
        <w:trPr>
          <w:cantSplit w:val="0"/>
        </w:trPr>
        <w:tc>
          <w:tcPr>
            <w:tcW w:w="1484" w:type="dxa"/>
          </w:tcPr>
          <w:p w14:paraId="19C4A44B" w14:textId="77777777" w:rsidR="00AE3790" w:rsidRDefault="00AE3790" w:rsidP="00AE3790">
            <w:pPr>
              <w:rPr>
                <w:b/>
              </w:rPr>
            </w:pPr>
            <w:r>
              <w:rPr>
                <w:b/>
              </w:rPr>
              <w:t>Future focus:</w:t>
            </w:r>
          </w:p>
        </w:tc>
        <w:tc>
          <w:tcPr>
            <w:tcW w:w="7449" w:type="dxa"/>
            <w:gridSpan w:val="3"/>
          </w:tcPr>
          <w:p w14:paraId="27DF9F8C" w14:textId="77777777" w:rsidR="00AE3790" w:rsidRPr="004B205D" w:rsidRDefault="00AE3790" w:rsidP="00AE3790">
            <w:pPr>
              <w:rPr>
                <w:highlight w:val="yellow"/>
              </w:rPr>
            </w:pPr>
            <w:r w:rsidRPr="004B205D">
              <w:rPr>
                <w:highlight w:val="yellow"/>
              </w:rPr>
              <w:t>(insert comment here)</w:t>
            </w:r>
          </w:p>
        </w:tc>
      </w:tr>
      <w:tr w:rsidR="00AE3790" w14:paraId="2CC346D6" w14:textId="77777777" w:rsidTr="00E50C58">
        <w:trPr>
          <w:cantSplit w:val="0"/>
        </w:trPr>
        <w:tc>
          <w:tcPr>
            <w:tcW w:w="1484" w:type="dxa"/>
          </w:tcPr>
          <w:p w14:paraId="02CF6BFD" w14:textId="77777777" w:rsidR="00AE3790" w:rsidRDefault="00AE3790" w:rsidP="00AE3790">
            <w:pPr>
              <w:rPr>
                <w:b/>
              </w:rPr>
            </w:pPr>
            <w:r>
              <w:rPr>
                <w:b/>
              </w:rPr>
              <w:t>Challenge:</w:t>
            </w:r>
          </w:p>
        </w:tc>
        <w:tc>
          <w:tcPr>
            <w:tcW w:w="7449" w:type="dxa"/>
            <w:gridSpan w:val="3"/>
          </w:tcPr>
          <w:p w14:paraId="6A6E83CD" w14:textId="77777777" w:rsidR="00AE3790" w:rsidRPr="004B205D" w:rsidRDefault="00AE3790" w:rsidP="00AE3790">
            <w:pPr>
              <w:rPr>
                <w:highlight w:val="yellow"/>
              </w:rPr>
            </w:pPr>
            <w:r w:rsidRPr="004B205D">
              <w:rPr>
                <w:highlight w:val="yellow"/>
              </w:rPr>
              <w:t>(insert comment here)</w:t>
            </w:r>
          </w:p>
        </w:tc>
      </w:tr>
    </w:tbl>
    <w:p w14:paraId="5A8157C8" w14:textId="77777777" w:rsidR="00AE3790" w:rsidRDefault="00AE3790"/>
    <w:tbl>
      <w:tblPr>
        <w:tblStyle w:val="DIATable"/>
        <w:tblW w:w="0" w:type="auto"/>
        <w:tblLook w:val="04A0" w:firstRow="1" w:lastRow="0" w:firstColumn="1" w:lastColumn="0" w:noHBand="0" w:noVBand="1"/>
      </w:tblPr>
      <w:tblGrid>
        <w:gridCol w:w="1484"/>
        <w:gridCol w:w="1654"/>
        <w:gridCol w:w="4394"/>
        <w:gridCol w:w="1401"/>
      </w:tblGrid>
      <w:tr w:rsidR="00B519CB" w14:paraId="4D17F67C" w14:textId="77777777" w:rsidTr="00B519CB">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7030A0"/>
          </w:tcPr>
          <w:p w14:paraId="2F117DE8" w14:textId="77777777" w:rsidR="00B519CB" w:rsidRDefault="00B519CB" w:rsidP="00B519CB">
            <w:pPr>
              <w:rPr>
                <w:b w:val="0"/>
              </w:rPr>
            </w:pPr>
            <w:r>
              <w:t>Privacy domains 3</w:t>
            </w:r>
            <w:r w:rsidRPr="00D73E5B">
              <w:t xml:space="preserve">: </w:t>
            </w:r>
            <w:r w:rsidR="002F47F7" w:rsidRPr="002F47F7">
              <w:t>Make it easy for people to access and request correction to their information.</w:t>
            </w:r>
          </w:p>
        </w:tc>
      </w:tr>
      <w:tr w:rsidR="00046510" w14:paraId="4F394B79" w14:textId="77777777" w:rsidTr="00D2481E">
        <w:trPr>
          <w:cantSplit w:val="0"/>
        </w:trPr>
        <w:tc>
          <w:tcPr>
            <w:tcW w:w="1484" w:type="dxa"/>
            <w:vMerge w:val="restart"/>
          </w:tcPr>
          <w:p w14:paraId="2B57DEA5" w14:textId="77777777" w:rsidR="00046510" w:rsidRDefault="00046510" w:rsidP="00B519CB">
            <w:pPr>
              <w:rPr>
                <w:b/>
              </w:rPr>
            </w:pPr>
            <w:r>
              <w:rPr>
                <w:b/>
              </w:rPr>
              <w:t>PD3.1</w:t>
            </w:r>
          </w:p>
        </w:tc>
        <w:tc>
          <w:tcPr>
            <w:tcW w:w="1654" w:type="dxa"/>
            <w:vMerge w:val="restart"/>
          </w:tcPr>
          <w:p w14:paraId="6505337C" w14:textId="77777777" w:rsidR="00046510" w:rsidRDefault="00046510" w:rsidP="00B519CB">
            <w:pPr>
              <w:rPr>
                <w:b/>
              </w:rPr>
            </w:pPr>
            <w:r>
              <w:rPr>
                <w:b/>
              </w:rPr>
              <w:t>Having a process</w:t>
            </w:r>
          </w:p>
        </w:tc>
        <w:tc>
          <w:tcPr>
            <w:tcW w:w="4394" w:type="dxa"/>
          </w:tcPr>
          <w:p w14:paraId="13950A32" w14:textId="77777777" w:rsidR="00046510" w:rsidRPr="005D36E7" w:rsidRDefault="00046510" w:rsidP="00B519CB">
            <w:pPr>
              <w:rPr>
                <w:b/>
              </w:rPr>
            </w:pPr>
            <w:r>
              <w:rPr>
                <w:b/>
              </w:rPr>
              <w:t xml:space="preserve">Informal: </w:t>
            </w:r>
            <w:r w:rsidR="002F47F7" w:rsidRPr="002F47F7">
              <w:t>The approach to responding to access requests is ad hoc or reactive, and it’s not easy for clients to find or understand how to do this.</w:t>
            </w:r>
          </w:p>
        </w:tc>
        <w:tc>
          <w:tcPr>
            <w:tcW w:w="1401" w:type="dxa"/>
            <w:vMerge w:val="restart"/>
          </w:tcPr>
          <w:p w14:paraId="57B4D417" w14:textId="77777777" w:rsidR="00046510" w:rsidRPr="00DE51C7" w:rsidRDefault="00046510" w:rsidP="00B519CB">
            <w:pPr>
              <w:jc w:val="center"/>
            </w:pPr>
            <w:r w:rsidRPr="00DE51C7">
              <w:rPr>
                <w:highlight w:val="yellow"/>
              </w:rPr>
              <w:t>Type rating here</w:t>
            </w:r>
          </w:p>
        </w:tc>
      </w:tr>
      <w:tr w:rsidR="00046510" w14:paraId="2F217430" w14:textId="77777777" w:rsidTr="00D2481E">
        <w:trPr>
          <w:cantSplit w:val="0"/>
        </w:trPr>
        <w:tc>
          <w:tcPr>
            <w:tcW w:w="1484" w:type="dxa"/>
            <w:vMerge/>
          </w:tcPr>
          <w:p w14:paraId="641147FB" w14:textId="77777777" w:rsidR="00046510" w:rsidRDefault="00046510" w:rsidP="00B519CB">
            <w:pPr>
              <w:jc w:val="center"/>
              <w:rPr>
                <w:b/>
              </w:rPr>
            </w:pPr>
          </w:p>
        </w:tc>
        <w:tc>
          <w:tcPr>
            <w:tcW w:w="1654" w:type="dxa"/>
            <w:vMerge/>
          </w:tcPr>
          <w:p w14:paraId="06035F06" w14:textId="77777777" w:rsidR="00046510" w:rsidRDefault="00046510" w:rsidP="00B519CB">
            <w:pPr>
              <w:rPr>
                <w:b/>
              </w:rPr>
            </w:pPr>
          </w:p>
        </w:tc>
        <w:tc>
          <w:tcPr>
            <w:tcW w:w="4394" w:type="dxa"/>
          </w:tcPr>
          <w:p w14:paraId="4A611FCD" w14:textId="77777777" w:rsidR="00046510" w:rsidRDefault="00F82CAD" w:rsidP="00B519CB">
            <w:pPr>
              <w:rPr>
                <w:b/>
              </w:rPr>
            </w:pPr>
            <w:r>
              <w:rPr>
                <w:b/>
              </w:rPr>
              <w:t>Foundational</w:t>
            </w:r>
            <w:r w:rsidR="00046510">
              <w:rPr>
                <w:b/>
              </w:rPr>
              <w:t xml:space="preserve">: </w:t>
            </w:r>
            <w:r w:rsidR="002F47F7" w:rsidRPr="002F47F7">
              <w:t>Customers and clients can find a process to make an access request, but it’s not clear if they find it easy to use.</w:t>
            </w:r>
          </w:p>
        </w:tc>
        <w:tc>
          <w:tcPr>
            <w:tcW w:w="1401" w:type="dxa"/>
            <w:vMerge/>
          </w:tcPr>
          <w:p w14:paraId="0B0DE546" w14:textId="77777777" w:rsidR="00046510" w:rsidRPr="00DE51C7" w:rsidRDefault="00046510" w:rsidP="00B519CB"/>
        </w:tc>
      </w:tr>
      <w:tr w:rsidR="00046510" w14:paraId="7851BDF4" w14:textId="77777777" w:rsidTr="00D2481E">
        <w:trPr>
          <w:cantSplit w:val="0"/>
        </w:trPr>
        <w:tc>
          <w:tcPr>
            <w:tcW w:w="1484" w:type="dxa"/>
            <w:vMerge/>
          </w:tcPr>
          <w:p w14:paraId="31733366" w14:textId="77777777" w:rsidR="00046510" w:rsidRDefault="00046510" w:rsidP="00B519CB">
            <w:pPr>
              <w:rPr>
                <w:b/>
              </w:rPr>
            </w:pPr>
          </w:p>
        </w:tc>
        <w:tc>
          <w:tcPr>
            <w:tcW w:w="1654" w:type="dxa"/>
            <w:vMerge/>
          </w:tcPr>
          <w:p w14:paraId="2B87A15A" w14:textId="77777777" w:rsidR="00046510" w:rsidRDefault="00046510" w:rsidP="00B519CB">
            <w:pPr>
              <w:rPr>
                <w:b/>
              </w:rPr>
            </w:pPr>
          </w:p>
        </w:tc>
        <w:tc>
          <w:tcPr>
            <w:tcW w:w="4394" w:type="dxa"/>
          </w:tcPr>
          <w:p w14:paraId="0D45D69C" w14:textId="77777777" w:rsidR="00046510" w:rsidRDefault="00046510" w:rsidP="00B519CB">
            <w:pPr>
              <w:rPr>
                <w:b/>
              </w:rPr>
            </w:pPr>
            <w:r>
              <w:rPr>
                <w:b/>
              </w:rPr>
              <w:t xml:space="preserve">Managed: </w:t>
            </w:r>
            <w:r w:rsidR="002F47F7" w:rsidRPr="002F47F7">
              <w:t>Customers and clients can easily find and understand the process to make an access request.</w:t>
            </w:r>
          </w:p>
        </w:tc>
        <w:tc>
          <w:tcPr>
            <w:tcW w:w="1401" w:type="dxa"/>
            <w:vMerge/>
          </w:tcPr>
          <w:p w14:paraId="4B46DB23" w14:textId="77777777" w:rsidR="00046510" w:rsidRPr="00DE51C7" w:rsidRDefault="00046510" w:rsidP="00B519CB"/>
        </w:tc>
      </w:tr>
      <w:tr w:rsidR="00046510" w14:paraId="29873A96" w14:textId="77777777" w:rsidTr="00D2481E">
        <w:trPr>
          <w:cantSplit w:val="0"/>
        </w:trPr>
        <w:tc>
          <w:tcPr>
            <w:tcW w:w="1484" w:type="dxa"/>
            <w:vMerge w:val="restart"/>
          </w:tcPr>
          <w:p w14:paraId="72F13D96" w14:textId="77777777" w:rsidR="00046510" w:rsidRDefault="00046510" w:rsidP="00B519CB">
            <w:pPr>
              <w:rPr>
                <w:b/>
              </w:rPr>
            </w:pPr>
            <w:r>
              <w:rPr>
                <w:b/>
              </w:rPr>
              <w:t>PD3.2</w:t>
            </w:r>
          </w:p>
        </w:tc>
        <w:tc>
          <w:tcPr>
            <w:tcW w:w="1654" w:type="dxa"/>
            <w:vMerge w:val="restart"/>
          </w:tcPr>
          <w:p w14:paraId="2BD49EC0" w14:textId="77777777" w:rsidR="00046510" w:rsidRDefault="00046510" w:rsidP="00B519CB">
            <w:pPr>
              <w:rPr>
                <w:b/>
              </w:rPr>
            </w:pPr>
            <w:r w:rsidRPr="005F1703">
              <w:rPr>
                <w:b/>
              </w:rPr>
              <w:t>Monitoring the process</w:t>
            </w:r>
          </w:p>
        </w:tc>
        <w:tc>
          <w:tcPr>
            <w:tcW w:w="4394" w:type="dxa"/>
          </w:tcPr>
          <w:p w14:paraId="16DAFDF3" w14:textId="77777777" w:rsidR="00046510" w:rsidRDefault="00046510" w:rsidP="00B519CB">
            <w:pPr>
              <w:rPr>
                <w:b/>
              </w:rPr>
            </w:pPr>
            <w:r>
              <w:rPr>
                <w:b/>
              </w:rPr>
              <w:t xml:space="preserve">Informal: </w:t>
            </w:r>
            <w:r w:rsidR="002F47F7" w:rsidRPr="002F47F7">
              <w:t>Access request responses are done on an ad hoc basis with no systematic monitoring.</w:t>
            </w:r>
          </w:p>
        </w:tc>
        <w:tc>
          <w:tcPr>
            <w:tcW w:w="1401" w:type="dxa"/>
            <w:vMerge w:val="restart"/>
          </w:tcPr>
          <w:p w14:paraId="6A4D10B7" w14:textId="77777777" w:rsidR="00046510" w:rsidRPr="00DE51C7" w:rsidRDefault="00046510" w:rsidP="00B519CB">
            <w:pPr>
              <w:jc w:val="center"/>
            </w:pPr>
            <w:r w:rsidRPr="00DE51C7">
              <w:rPr>
                <w:highlight w:val="yellow"/>
              </w:rPr>
              <w:t>Type rating here</w:t>
            </w:r>
          </w:p>
        </w:tc>
      </w:tr>
      <w:tr w:rsidR="00046510" w14:paraId="62E255A2" w14:textId="77777777" w:rsidTr="00D2481E">
        <w:trPr>
          <w:cantSplit w:val="0"/>
        </w:trPr>
        <w:tc>
          <w:tcPr>
            <w:tcW w:w="1484" w:type="dxa"/>
            <w:vMerge/>
          </w:tcPr>
          <w:p w14:paraId="43DF5ADE" w14:textId="77777777" w:rsidR="00046510" w:rsidRDefault="00046510" w:rsidP="00B519CB">
            <w:pPr>
              <w:jc w:val="center"/>
              <w:rPr>
                <w:b/>
              </w:rPr>
            </w:pPr>
          </w:p>
        </w:tc>
        <w:tc>
          <w:tcPr>
            <w:tcW w:w="1654" w:type="dxa"/>
            <w:vMerge/>
          </w:tcPr>
          <w:p w14:paraId="6AADD056" w14:textId="77777777" w:rsidR="00046510" w:rsidRDefault="00046510" w:rsidP="00B519CB">
            <w:pPr>
              <w:rPr>
                <w:b/>
              </w:rPr>
            </w:pPr>
          </w:p>
        </w:tc>
        <w:tc>
          <w:tcPr>
            <w:tcW w:w="4394" w:type="dxa"/>
          </w:tcPr>
          <w:p w14:paraId="291E5D58" w14:textId="77777777" w:rsidR="00046510" w:rsidRDefault="00F82CAD" w:rsidP="00B519CB">
            <w:pPr>
              <w:rPr>
                <w:b/>
              </w:rPr>
            </w:pPr>
            <w:r>
              <w:rPr>
                <w:b/>
              </w:rPr>
              <w:t>Foundational</w:t>
            </w:r>
            <w:r w:rsidR="00046510">
              <w:rPr>
                <w:b/>
              </w:rPr>
              <w:t xml:space="preserve">: </w:t>
            </w:r>
            <w:r w:rsidR="002F47F7" w:rsidRPr="002F47F7">
              <w:t>The agency has an access request process. The requesters and the agency have little visibility of whether the access requests responses are meeting the legislative requirements.</w:t>
            </w:r>
          </w:p>
        </w:tc>
        <w:tc>
          <w:tcPr>
            <w:tcW w:w="1401" w:type="dxa"/>
            <w:vMerge/>
          </w:tcPr>
          <w:p w14:paraId="0CEFB43E" w14:textId="77777777" w:rsidR="00046510" w:rsidRPr="00DE51C7" w:rsidRDefault="00046510" w:rsidP="00B519CB"/>
        </w:tc>
      </w:tr>
      <w:tr w:rsidR="00046510" w14:paraId="592EC0D5" w14:textId="77777777" w:rsidTr="00D2481E">
        <w:trPr>
          <w:cantSplit w:val="0"/>
        </w:trPr>
        <w:tc>
          <w:tcPr>
            <w:tcW w:w="1484" w:type="dxa"/>
            <w:vMerge/>
          </w:tcPr>
          <w:p w14:paraId="1FFC2103" w14:textId="77777777" w:rsidR="00046510" w:rsidRDefault="00046510" w:rsidP="00B519CB">
            <w:pPr>
              <w:rPr>
                <w:b/>
              </w:rPr>
            </w:pPr>
          </w:p>
        </w:tc>
        <w:tc>
          <w:tcPr>
            <w:tcW w:w="1654" w:type="dxa"/>
            <w:vMerge/>
          </w:tcPr>
          <w:p w14:paraId="268B3EEB" w14:textId="77777777" w:rsidR="00046510" w:rsidRDefault="00046510" w:rsidP="00B519CB">
            <w:pPr>
              <w:rPr>
                <w:b/>
              </w:rPr>
            </w:pPr>
          </w:p>
        </w:tc>
        <w:tc>
          <w:tcPr>
            <w:tcW w:w="4394" w:type="dxa"/>
          </w:tcPr>
          <w:p w14:paraId="46F97425" w14:textId="77777777" w:rsidR="002F47F7" w:rsidRDefault="00046510" w:rsidP="002F47F7">
            <w:r>
              <w:rPr>
                <w:b/>
              </w:rPr>
              <w:t xml:space="preserve">Managed: </w:t>
            </w:r>
            <w:r w:rsidR="002F47F7">
              <w:t>The agency has a people-centred access request process that aligns with DPUP’s good-practice advice on access to personal information.</w:t>
            </w:r>
          </w:p>
          <w:p w14:paraId="6AE980D0" w14:textId="77777777" w:rsidR="00046510" w:rsidRPr="005D36E7" w:rsidRDefault="002F47F7" w:rsidP="002F47F7">
            <w:pPr>
              <w:rPr>
                <w:b/>
              </w:rPr>
            </w:pPr>
            <w:r>
              <w:t>The agency monitors and ensures that access request responses meet the legislative requirements and supports the agency’s reputation as an effective and trusted custodian of people’s personal information.</w:t>
            </w:r>
          </w:p>
        </w:tc>
        <w:tc>
          <w:tcPr>
            <w:tcW w:w="1401" w:type="dxa"/>
            <w:vMerge/>
          </w:tcPr>
          <w:p w14:paraId="1AFF8F72" w14:textId="77777777" w:rsidR="00046510" w:rsidRPr="00DE51C7" w:rsidRDefault="00046510" w:rsidP="00B519CB"/>
        </w:tc>
      </w:tr>
      <w:tr w:rsidR="00046510" w14:paraId="7139E0BE" w14:textId="77777777" w:rsidTr="00D2481E">
        <w:trPr>
          <w:cantSplit w:val="0"/>
        </w:trPr>
        <w:tc>
          <w:tcPr>
            <w:tcW w:w="1484" w:type="dxa"/>
            <w:vMerge w:val="restart"/>
          </w:tcPr>
          <w:p w14:paraId="71A8A2F6" w14:textId="77777777" w:rsidR="00046510" w:rsidRDefault="00046510" w:rsidP="00B519CB">
            <w:pPr>
              <w:rPr>
                <w:b/>
              </w:rPr>
            </w:pPr>
            <w:r>
              <w:rPr>
                <w:b/>
              </w:rPr>
              <w:t>PD3.3</w:t>
            </w:r>
          </w:p>
        </w:tc>
        <w:tc>
          <w:tcPr>
            <w:tcW w:w="1654" w:type="dxa"/>
            <w:vMerge w:val="restart"/>
          </w:tcPr>
          <w:p w14:paraId="6D80B3AC" w14:textId="77777777" w:rsidR="00046510" w:rsidRDefault="00046510" w:rsidP="00B519CB">
            <w:pPr>
              <w:rPr>
                <w:b/>
              </w:rPr>
            </w:pPr>
            <w:r w:rsidRPr="005F1703">
              <w:rPr>
                <w:b/>
              </w:rPr>
              <w:t>Reviewing the process</w:t>
            </w:r>
          </w:p>
        </w:tc>
        <w:tc>
          <w:tcPr>
            <w:tcW w:w="4394" w:type="dxa"/>
          </w:tcPr>
          <w:p w14:paraId="7D79B482" w14:textId="77777777" w:rsidR="00046510" w:rsidRDefault="00046510" w:rsidP="00B519CB">
            <w:pPr>
              <w:rPr>
                <w:b/>
              </w:rPr>
            </w:pPr>
            <w:r>
              <w:rPr>
                <w:b/>
              </w:rPr>
              <w:t>Informal:</w:t>
            </w:r>
            <w:r>
              <w:t xml:space="preserve"> </w:t>
            </w:r>
            <w:r w:rsidR="002F47F7" w:rsidRPr="002F47F7">
              <w:t>Actions to improve the process for responding to access requests are ad hoc or reactive.</w:t>
            </w:r>
          </w:p>
        </w:tc>
        <w:tc>
          <w:tcPr>
            <w:tcW w:w="1401" w:type="dxa"/>
            <w:vMerge w:val="restart"/>
          </w:tcPr>
          <w:p w14:paraId="410ED623" w14:textId="77777777" w:rsidR="00046510" w:rsidRPr="00DE51C7" w:rsidRDefault="00046510" w:rsidP="00B519CB">
            <w:pPr>
              <w:jc w:val="center"/>
            </w:pPr>
            <w:r w:rsidRPr="00DE51C7">
              <w:rPr>
                <w:highlight w:val="yellow"/>
              </w:rPr>
              <w:t>Type rating here</w:t>
            </w:r>
          </w:p>
        </w:tc>
      </w:tr>
      <w:tr w:rsidR="00046510" w14:paraId="08E80A3A" w14:textId="77777777" w:rsidTr="00D2481E">
        <w:trPr>
          <w:cantSplit w:val="0"/>
        </w:trPr>
        <w:tc>
          <w:tcPr>
            <w:tcW w:w="1484" w:type="dxa"/>
            <w:vMerge/>
          </w:tcPr>
          <w:p w14:paraId="546FC5AB" w14:textId="77777777" w:rsidR="00046510" w:rsidRDefault="00046510" w:rsidP="00B519CB">
            <w:pPr>
              <w:jc w:val="center"/>
              <w:rPr>
                <w:b/>
              </w:rPr>
            </w:pPr>
          </w:p>
        </w:tc>
        <w:tc>
          <w:tcPr>
            <w:tcW w:w="1654" w:type="dxa"/>
            <w:vMerge/>
          </w:tcPr>
          <w:p w14:paraId="5EFF19A5" w14:textId="77777777" w:rsidR="00046510" w:rsidRDefault="00046510" w:rsidP="00B519CB">
            <w:pPr>
              <w:rPr>
                <w:b/>
              </w:rPr>
            </w:pPr>
          </w:p>
        </w:tc>
        <w:tc>
          <w:tcPr>
            <w:tcW w:w="4394" w:type="dxa"/>
          </w:tcPr>
          <w:p w14:paraId="7B87B7B0" w14:textId="77777777" w:rsidR="00046510" w:rsidRPr="005D36E7" w:rsidRDefault="00F82CAD" w:rsidP="00B519CB">
            <w:pPr>
              <w:rPr>
                <w:b/>
              </w:rPr>
            </w:pPr>
            <w:r>
              <w:rPr>
                <w:b/>
              </w:rPr>
              <w:t>Foundational</w:t>
            </w:r>
            <w:r w:rsidR="00046510">
              <w:rPr>
                <w:b/>
              </w:rPr>
              <w:t xml:space="preserve">: </w:t>
            </w:r>
            <w:r w:rsidR="002F47F7" w:rsidRPr="002F47F7">
              <w:t>The agency relies on individual initiatives to enable timely responses to access requests by considering easy access and collation of personal information.</w:t>
            </w:r>
          </w:p>
        </w:tc>
        <w:tc>
          <w:tcPr>
            <w:tcW w:w="1401" w:type="dxa"/>
            <w:vMerge/>
          </w:tcPr>
          <w:p w14:paraId="209ED898" w14:textId="77777777" w:rsidR="00046510" w:rsidRDefault="00046510" w:rsidP="00B519CB">
            <w:pPr>
              <w:rPr>
                <w:b/>
              </w:rPr>
            </w:pPr>
          </w:p>
        </w:tc>
      </w:tr>
      <w:tr w:rsidR="00046510" w14:paraId="66BC6C6A" w14:textId="77777777" w:rsidTr="00D2481E">
        <w:trPr>
          <w:cantSplit w:val="0"/>
        </w:trPr>
        <w:tc>
          <w:tcPr>
            <w:tcW w:w="1484" w:type="dxa"/>
            <w:vMerge/>
          </w:tcPr>
          <w:p w14:paraId="48DCFFBA" w14:textId="77777777" w:rsidR="00046510" w:rsidRDefault="00046510" w:rsidP="00B519CB">
            <w:pPr>
              <w:rPr>
                <w:b/>
              </w:rPr>
            </w:pPr>
          </w:p>
        </w:tc>
        <w:tc>
          <w:tcPr>
            <w:tcW w:w="1654" w:type="dxa"/>
            <w:vMerge/>
          </w:tcPr>
          <w:p w14:paraId="614B664C" w14:textId="77777777" w:rsidR="00046510" w:rsidRDefault="00046510" w:rsidP="00B519CB">
            <w:pPr>
              <w:rPr>
                <w:b/>
              </w:rPr>
            </w:pPr>
          </w:p>
        </w:tc>
        <w:tc>
          <w:tcPr>
            <w:tcW w:w="4394" w:type="dxa"/>
          </w:tcPr>
          <w:p w14:paraId="24A068BF" w14:textId="77777777" w:rsidR="00046510" w:rsidRDefault="00046510" w:rsidP="00B519CB">
            <w:pPr>
              <w:rPr>
                <w:b/>
              </w:rPr>
            </w:pPr>
            <w:r>
              <w:rPr>
                <w:b/>
              </w:rPr>
              <w:t xml:space="preserve">Managed: </w:t>
            </w:r>
            <w:r w:rsidR="002F47F7" w:rsidRPr="002F47F7">
              <w:t>Information management and ICT system reviews explicitly include consideration of easy access and collation of personal information to enable timely responses to access requests.</w:t>
            </w:r>
          </w:p>
        </w:tc>
        <w:tc>
          <w:tcPr>
            <w:tcW w:w="1401" w:type="dxa"/>
            <w:vMerge/>
          </w:tcPr>
          <w:p w14:paraId="38DF39E2" w14:textId="77777777" w:rsidR="00046510" w:rsidRDefault="00046510" w:rsidP="00B519CB">
            <w:pPr>
              <w:rPr>
                <w:b/>
              </w:rPr>
            </w:pPr>
          </w:p>
        </w:tc>
      </w:tr>
      <w:tr w:rsidR="00AE3790" w14:paraId="0C8472E4" w14:textId="77777777" w:rsidTr="00E50C58">
        <w:trPr>
          <w:cantSplit w:val="0"/>
        </w:trPr>
        <w:tc>
          <w:tcPr>
            <w:tcW w:w="1484" w:type="dxa"/>
          </w:tcPr>
          <w:p w14:paraId="65980C20" w14:textId="77777777" w:rsidR="00AE3790" w:rsidRDefault="00AE3790" w:rsidP="00AE3790">
            <w:pPr>
              <w:rPr>
                <w:b/>
              </w:rPr>
            </w:pPr>
            <w:r>
              <w:rPr>
                <w:b/>
              </w:rPr>
              <w:t>Context</w:t>
            </w:r>
            <w:r w:rsidRPr="00E93801">
              <w:rPr>
                <w:b/>
              </w:rPr>
              <w:t>:</w:t>
            </w:r>
          </w:p>
        </w:tc>
        <w:tc>
          <w:tcPr>
            <w:tcW w:w="7449" w:type="dxa"/>
            <w:gridSpan w:val="3"/>
          </w:tcPr>
          <w:p w14:paraId="15161DDD" w14:textId="77777777" w:rsidR="00AE3790" w:rsidRPr="00D73E5B" w:rsidRDefault="00AE3790" w:rsidP="00AE3790">
            <w:r w:rsidRPr="004B205D">
              <w:rPr>
                <w:highlight w:val="yellow"/>
              </w:rPr>
              <w:t>(insert comment here)</w:t>
            </w:r>
          </w:p>
        </w:tc>
      </w:tr>
      <w:tr w:rsidR="00AE3790" w14:paraId="14613AB4" w14:textId="77777777" w:rsidTr="00E50C58">
        <w:trPr>
          <w:cantSplit w:val="0"/>
        </w:trPr>
        <w:tc>
          <w:tcPr>
            <w:tcW w:w="1484" w:type="dxa"/>
          </w:tcPr>
          <w:p w14:paraId="503852DE" w14:textId="77777777" w:rsidR="00AE3790" w:rsidRDefault="00AE3790" w:rsidP="00AE3790">
            <w:pPr>
              <w:rPr>
                <w:b/>
              </w:rPr>
            </w:pPr>
            <w:r>
              <w:rPr>
                <w:b/>
              </w:rPr>
              <w:t>Achievement:</w:t>
            </w:r>
          </w:p>
        </w:tc>
        <w:tc>
          <w:tcPr>
            <w:tcW w:w="7449" w:type="dxa"/>
            <w:gridSpan w:val="3"/>
          </w:tcPr>
          <w:p w14:paraId="1BCFF7C6" w14:textId="77777777" w:rsidR="00AE3790" w:rsidRPr="004B205D" w:rsidRDefault="00AE3790" w:rsidP="00AE3790">
            <w:pPr>
              <w:rPr>
                <w:highlight w:val="yellow"/>
              </w:rPr>
            </w:pPr>
            <w:r w:rsidRPr="004B205D">
              <w:rPr>
                <w:highlight w:val="yellow"/>
              </w:rPr>
              <w:t>(insert comment here)</w:t>
            </w:r>
          </w:p>
        </w:tc>
      </w:tr>
      <w:tr w:rsidR="00AE3790" w14:paraId="49E70706" w14:textId="77777777" w:rsidTr="00E50C58">
        <w:trPr>
          <w:cantSplit w:val="0"/>
        </w:trPr>
        <w:tc>
          <w:tcPr>
            <w:tcW w:w="1484" w:type="dxa"/>
          </w:tcPr>
          <w:p w14:paraId="7115C1B6" w14:textId="77777777" w:rsidR="00AE3790" w:rsidRDefault="00AE3790" w:rsidP="00AE3790">
            <w:pPr>
              <w:rPr>
                <w:b/>
              </w:rPr>
            </w:pPr>
            <w:r>
              <w:rPr>
                <w:b/>
              </w:rPr>
              <w:t>Future focus:</w:t>
            </w:r>
          </w:p>
        </w:tc>
        <w:tc>
          <w:tcPr>
            <w:tcW w:w="7449" w:type="dxa"/>
            <w:gridSpan w:val="3"/>
          </w:tcPr>
          <w:p w14:paraId="6AB55767" w14:textId="77777777" w:rsidR="00AE3790" w:rsidRPr="004B205D" w:rsidRDefault="00AE3790" w:rsidP="00AE3790">
            <w:pPr>
              <w:rPr>
                <w:highlight w:val="yellow"/>
              </w:rPr>
            </w:pPr>
            <w:r w:rsidRPr="004B205D">
              <w:rPr>
                <w:highlight w:val="yellow"/>
              </w:rPr>
              <w:t>(insert comment here)</w:t>
            </w:r>
          </w:p>
        </w:tc>
      </w:tr>
      <w:tr w:rsidR="00AE3790" w14:paraId="5EBA9EF9" w14:textId="77777777" w:rsidTr="00E50C58">
        <w:trPr>
          <w:cantSplit w:val="0"/>
        </w:trPr>
        <w:tc>
          <w:tcPr>
            <w:tcW w:w="1484" w:type="dxa"/>
          </w:tcPr>
          <w:p w14:paraId="3F054DA4" w14:textId="77777777" w:rsidR="00AE3790" w:rsidRDefault="00AE3790" w:rsidP="00AE3790">
            <w:pPr>
              <w:rPr>
                <w:b/>
              </w:rPr>
            </w:pPr>
            <w:r>
              <w:rPr>
                <w:b/>
              </w:rPr>
              <w:t>Challenge:</w:t>
            </w:r>
          </w:p>
        </w:tc>
        <w:tc>
          <w:tcPr>
            <w:tcW w:w="7449" w:type="dxa"/>
            <w:gridSpan w:val="3"/>
          </w:tcPr>
          <w:p w14:paraId="49806BF6" w14:textId="77777777" w:rsidR="00AE3790" w:rsidRPr="004B205D" w:rsidRDefault="00AE3790" w:rsidP="00AE3790">
            <w:pPr>
              <w:rPr>
                <w:highlight w:val="yellow"/>
              </w:rPr>
            </w:pPr>
            <w:r w:rsidRPr="004B205D">
              <w:rPr>
                <w:highlight w:val="yellow"/>
              </w:rPr>
              <w:t>(insert comment here)</w:t>
            </w:r>
          </w:p>
        </w:tc>
      </w:tr>
    </w:tbl>
    <w:p w14:paraId="387191CC" w14:textId="77777777" w:rsidR="00B519CB" w:rsidRPr="005D36E7" w:rsidRDefault="00B519CB" w:rsidP="005D36E7">
      <w:pPr>
        <w:keepLines w:val="0"/>
        <w:rPr>
          <w:b/>
        </w:rPr>
      </w:pPr>
    </w:p>
    <w:tbl>
      <w:tblPr>
        <w:tblStyle w:val="DIATable"/>
        <w:tblW w:w="0" w:type="auto"/>
        <w:tblLook w:val="04A0" w:firstRow="1" w:lastRow="0" w:firstColumn="1" w:lastColumn="0" w:noHBand="0" w:noVBand="1"/>
      </w:tblPr>
      <w:tblGrid>
        <w:gridCol w:w="1484"/>
        <w:gridCol w:w="1654"/>
        <w:gridCol w:w="4394"/>
        <w:gridCol w:w="1401"/>
      </w:tblGrid>
      <w:tr w:rsidR="00B519CB" w14:paraId="40BB3A5C" w14:textId="77777777" w:rsidTr="00B519CB">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7030A0"/>
          </w:tcPr>
          <w:p w14:paraId="77F302B1" w14:textId="77777777" w:rsidR="00B519CB" w:rsidRDefault="00B519CB" w:rsidP="00B519CB">
            <w:pPr>
              <w:rPr>
                <w:b w:val="0"/>
              </w:rPr>
            </w:pPr>
            <w:r>
              <w:t>Privacy domains 4</w:t>
            </w:r>
            <w:r w:rsidRPr="00D73E5B">
              <w:t xml:space="preserve">: </w:t>
            </w:r>
            <w:r w:rsidRPr="005F1703">
              <w:t>Understand and assess privacy risks and manage commensurately.</w:t>
            </w:r>
          </w:p>
        </w:tc>
      </w:tr>
      <w:tr w:rsidR="00046510" w14:paraId="3CA2D19F" w14:textId="77777777" w:rsidTr="00D2481E">
        <w:trPr>
          <w:cantSplit w:val="0"/>
        </w:trPr>
        <w:tc>
          <w:tcPr>
            <w:tcW w:w="1484" w:type="dxa"/>
            <w:vMerge w:val="restart"/>
          </w:tcPr>
          <w:p w14:paraId="69BAB136" w14:textId="77777777" w:rsidR="00046510" w:rsidRDefault="00046510" w:rsidP="00B519CB">
            <w:pPr>
              <w:rPr>
                <w:b/>
              </w:rPr>
            </w:pPr>
            <w:r>
              <w:rPr>
                <w:b/>
              </w:rPr>
              <w:t>PD4.1</w:t>
            </w:r>
          </w:p>
        </w:tc>
        <w:tc>
          <w:tcPr>
            <w:tcW w:w="1654" w:type="dxa"/>
            <w:vMerge w:val="restart"/>
          </w:tcPr>
          <w:p w14:paraId="3A2D63FF" w14:textId="77777777" w:rsidR="00046510" w:rsidRDefault="00046510" w:rsidP="00B519CB">
            <w:pPr>
              <w:rPr>
                <w:b/>
              </w:rPr>
            </w:pPr>
            <w:r w:rsidRPr="005F1703">
              <w:rPr>
                <w:b/>
              </w:rPr>
              <w:t xml:space="preserve">Knowing </w:t>
            </w:r>
            <w:r w:rsidR="00F82CAD">
              <w:rPr>
                <w:b/>
              </w:rPr>
              <w:t xml:space="preserve">agency </w:t>
            </w:r>
            <w:r w:rsidRPr="005F1703">
              <w:rPr>
                <w:b/>
              </w:rPr>
              <w:t>risks</w:t>
            </w:r>
          </w:p>
        </w:tc>
        <w:tc>
          <w:tcPr>
            <w:tcW w:w="4394" w:type="dxa"/>
          </w:tcPr>
          <w:p w14:paraId="7A61FF61" w14:textId="77777777" w:rsidR="00046510" w:rsidRPr="005D36E7" w:rsidRDefault="00046510" w:rsidP="00B519CB">
            <w:pPr>
              <w:rPr>
                <w:b/>
              </w:rPr>
            </w:pPr>
            <w:r>
              <w:rPr>
                <w:b/>
              </w:rPr>
              <w:t xml:space="preserve">Informal: </w:t>
            </w:r>
            <w:r w:rsidR="002F47F7" w:rsidRPr="002F47F7">
              <w:t>Privacy risks are not assessed or are assessed for specific events and incidents.</w:t>
            </w:r>
          </w:p>
        </w:tc>
        <w:tc>
          <w:tcPr>
            <w:tcW w:w="1401" w:type="dxa"/>
            <w:vMerge w:val="restart"/>
          </w:tcPr>
          <w:p w14:paraId="1C8F32F6" w14:textId="77777777" w:rsidR="00046510" w:rsidRPr="00DE51C7" w:rsidRDefault="00046510" w:rsidP="00B519CB">
            <w:pPr>
              <w:jc w:val="center"/>
            </w:pPr>
            <w:r w:rsidRPr="00DE51C7">
              <w:rPr>
                <w:highlight w:val="yellow"/>
              </w:rPr>
              <w:t>Type rating here</w:t>
            </w:r>
          </w:p>
        </w:tc>
      </w:tr>
      <w:tr w:rsidR="00046510" w14:paraId="51790288" w14:textId="77777777" w:rsidTr="00D2481E">
        <w:trPr>
          <w:cantSplit w:val="0"/>
        </w:trPr>
        <w:tc>
          <w:tcPr>
            <w:tcW w:w="1484" w:type="dxa"/>
            <w:vMerge/>
          </w:tcPr>
          <w:p w14:paraId="4D509AD3" w14:textId="77777777" w:rsidR="00046510" w:rsidRDefault="00046510" w:rsidP="00B519CB">
            <w:pPr>
              <w:jc w:val="center"/>
              <w:rPr>
                <w:b/>
              </w:rPr>
            </w:pPr>
          </w:p>
        </w:tc>
        <w:tc>
          <w:tcPr>
            <w:tcW w:w="1654" w:type="dxa"/>
            <w:vMerge/>
          </w:tcPr>
          <w:p w14:paraId="2850773B" w14:textId="77777777" w:rsidR="00046510" w:rsidRDefault="00046510" w:rsidP="00B519CB">
            <w:pPr>
              <w:rPr>
                <w:b/>
              </w:rPr>
            </w:pPr>
          </w:p>
        </w:tc>
        <w:tc>
          <w:tcPr>
            <w:tcW w:w="4394" w:type="dxa"/>
          </w:tcPr>
          <w:p w14:paraId="31FADF76" w14:textId="77777777" w:rsidR="00046510" w:rsidRDefault="00F82CAD" w:rsidP="00B519CB">
            <w:pPr>
              <w:rPr>
                <w:b/>
              </w:rPr>
            </w:pPr>
            <w:r>
              <w:rPr>
                <w:b/>
              </w:rPr>
              <w:t>Foundational</w:t>
            </w:r>
            <w:r w:rsidR="00046510">
              <w:rPr>
                <w:b/>
              </w:rPr>
              <w:t xml:space="preserve">: </w:t>
            </w:r>
            <w:r w:rsidR="002F47F7" w:rsidRPr="002F47F7">
              <w:t>Privacy risks are assessed based on little understanding and knowledge of personal information holdings and the collection, uses, sharing activities, and storage of personal information.</w:t>
            </w:r>
          </w:p>
        </w:tc>
        <w:tc>
          <w:tcPr>
            <w:tcW w:w="1401" w:type="dxa"/>
            <w:vMerge/>
          </w:tcPr>
          <w:p w14:paraId="005B8138" w14:textId="77777777" w:rsidR="00046510" w:rsidRPr="00DE51C7" w:rsidRDefault="00046510" w:rsidP="00B519CB"/>
        </w:tc>
      </w:tr>
      <w:tr w:rsidR="00046510" w14:paraId="1132CE62" w14:textId="77777777" w:rsidTr="00D2481E">
        <w:trPr>
          <w:cantSplit w:val="0"/>
        </w:trPr>
        <w:tc>
          <w:tcPr>
            <w:tcW w:w="1484" w:type="dxa"/>
            <w:vMerge/>
          </w:tcPr>
          <w:p w14:paraId="2A62F64C" w14:textId="77777777" w:rsidR="00046510" w:rsidRDefault="00046510" w:rsidP="00B519CB">
            <w:pPr>
              <w:rPr>
                <w:b/>
              </w:rPr>
            </w:pPr>
          </w:p>
        </w:tc>
        <w:tc>
          <w:tcPr>
            <w:tcW w:w="1654" w:type="dxa"/>
            <w:vMerge/>
          </w:tcPr>
          <w:p w14:paraId="318F9023" w14:textId="77777777" w:rsidR="00046510" w:rsidRDefault="00046510" w:rsidP="00B519CB">
            <w:pPr>
              <w:rPr>
                <w:b/>
              </w:rPr>
            </w:pPr>
          </w:p>
        </w:tc>
        <w:tc>
          <w:tcPr>
            <w:tcW w:w="4394" w:type="dxa"/>
          </w:tcPr>
          <w:p w14:paraId="6B994FFA" w14:textId="77777777" w:rsidR="00046510" w:rsidRPr="005D36E7" w:rsidRDefault="00046510" w:rsidP="00B519CB">
            <w:pPr>
              <w:rPr>
                <w:b/>
              </w:rPr>
            </w:pPr>
            <w:r>
              <w:rPr>
                <w:b/>
              </w:rPr>
              <w:t xml:space="preserve">Managed: </w:t>
            </w:r>
            <w:r w:rsidR="002F47F7" w:rsidRPr="002F47F7">
              <w:t>Privacy risks are assessed based on an understanding and knowledge of personal information holdings (for example, data inventory or stocktake), focusing on collection, uses, sharing activities, and storage.</w:t>
            </w:r>
          </w:p>
        </w:tc>
        <w:tc>
          <w:tcPr>
            <w:tcW w:w="1401" w:type="dxa"/>
            <w:vMerge/>
          </w:tcPr>
          <w:p w14:paraId="739E0BAD" w14:textId="77777777" w:rsidR="00046510" w:rsidRPr="00DE51C7" w:rsidRDefault="00046510" w:rsidP="00B519CB"/>
        </w:tc>
      </w:tr>
      <w:tr w:rsidR="00046510" w14:paraId="75216175" w14:textId="77777777" w:rsidTr="00D2481E">
        <w:trPr>
          <w:cantSplit w:val="0"/>
        </w:trPr>
        <w:tc>
          <w:tcPr>
            <w:tcW w:w="1484" w:type="dxa"/>
            <w:vMerge w:val="restart"/>
          </w:tcPr>
          <w:p w14:paraId="652433AE" w14:textId="77777777" w:rsidR="00046510" w:rsidRDefault="00046510" w:rsidP="00B519CB">
            <w:pPr>
              <w:rPr>
                <w:b/>
              </w:rPr>
            </w:pPr>
            <w:r>
              <w:rPr>
                <w:b/>
              </w:rPr>
              <w:lastRenderedPageBreak/>
              <w:t>PD4.2</w:t>
            </w:r>
          </w:p>
        </w:tc>
        <w:tc>
          <w:tcPr>
            <w:tcW w:w="1654" w:type="dxa"/>
            <w:vMerge w:val="restart"/>
          </w:tcPr>
          <w:p w14:paraId="38DF8F40" w14:textId="77777777" w:rsidR="00046510" w:rsidRDefault="00046510" w:rsidP="00B519CB">
            <w:pPr>
              <w:rPr>
                <w:b/>
              </w:rPr>
            </w:pPr>
            <w:r w:rsidRPr="005F1703">
              <w:rPr>
                <w:b/>
              </w:rPr>
              <w:t>Managing agency risks</w:t>
            </w:r>
          </w:p>
        </w:tc>
        <w:tc>
          <w:tcPr>
            <w:tcW w:w="4394" w:type="dxa"/>
          </w:tcPr>
          <w:p w14:paraId="73875972" w14:textId="77777777" w:rsidR="00046510" w:rsidRDefault="00046510" w:rsidP="00B519CB">
            <w:pPr>
              <w:rPr>
                <w:b/>
              </w:rPr>
            </w:pPr>
            <w:r>
              <w:rPr>
                <w:b/>
              </w:rPr>
              <w:t xml:space="preserve">Informal: </w:t>
            </w:r>
            <w:r w:rsidR="002F47F7" w:rsidRPr="002F47F7">
              <w:t>Agency privacy risk assessments, which provide a snapshot of an agency’s current privacy risks, are not done.</w:t>
            </w:r>
          </w:p>
        </w:tc>
        <w:tc>
          <w:tcPr>
            <w:tcW w:w="1401" w:type="dxa"/>
            <w:vMerge w:val="restart"/>
          </w:tcPr>
          <w:p w14:paraId="2A7F6A65" w14:textId="77777777" w:rsidR="00046510" w:rsidRPr="00DE51C7" w:rsidRDefault="00046510" w:rsidP="00B519CB">
            <w:pPr>
              <w:jc w:val="center"/>
            </w:pPr>
            <w:r w:rsidRPr="00DE51C7">
              <w:rPr>
                <w:highlight w:val="yellow"/>
              </w:rPr>
              <w:t>Type rating here</w:t>
            </w:r>
          </w:p>
        </w:tc>
      </w:tr>
      <w:tr w:rsidR="00046510" w14:paraId="3A5AF16F" w14:textId="77777777" w:rsidTr="00D2481E">
        <w:trPr>
          <w:cantSplit w:val="0"/>
        </w:trPr>
        <w:tc>
          <w:tcPr>
            <w:tcW w:w="1484" w:type="dxa"/>
            <w:vMerge/>
          </w:tcPr>
          <w:p w14:paraId="1CA4AB42" w14:textId="77777777" w:rsidR="00046510" w:rsidRDefault="00046510" w:rsidP="00B519CB">
            <w:pPr>
              <w:jc w:val="center"/>
              <w:rPr>
                <w:b/>
              </w:rPr>
            </w:pPr>
          </w:p>
        </w:tc>
        <w:tc>
          <w:tcPr>
            <w:tcW w:w="1654" w:type="dxa"/>
            <w:vMerge/>
          </w:tcPr>
          <w:p w14:paraId="744AD03A" w14:textId="77777777" w:rsidR="00046510" w:rsidRDefault="00046510" w:rsidP="00B519CB">
            <w:pPr>
              <w:rPr>
                <w:b/>
              </w:rPr>
            </w:pPr>
          </w:p>
        </w:tc>
        <w:tc>
          <w:tcPr>
            <w:tcW w:w="4394" w:type="dxa"/>
          </w:tcPr>
          <w:p w14:paraId="75232552" w14:textId="77777777" w:rsidR="00046510" w:rsidRDefault="00F82CAD" w:rsidP="00B519CB">
            <w:pPr>
              <w:rPr>
                <w:b/>
              </w:rPr>
            </w:pPr>
            <w:r>
              <w:rPr>
                <w:b/>
              </w:rPr>
              <w:t>Foundational</w:t>
            </w:r>
            <w:r w:rsidR="00046510">
              <w:rPr>
                <w:b/>
              </w:rPr>
              <w:t xml:space="preserve">: </w:t>
            </w:r>
            <w:r w:rsidR="002F47F7" w:rsidRPr="002F47F7">
              <w:t>Agency privacy risk assessments, which provide a snapshot of an agency’s current privacy risks, are siloed within the privacy team and are not part of the agency’s overall risk assessment.</w:t>
            </w:r>
          </w:p>
        </w:tc>
        <w:tc>
          <w:tcPr>
            <w:tcW w:w="1401" w:type="dxa"/>
            <w:vMerge/>
          </w:tcPr>
          <w:p w14:paraId="605BBC7D" w14:textId="77777777" w:rsidR="00046510" w:rsidRPr="00DE51C7" w:rsidRDefault="00046510" w:rsidP="00B519CB"/>
        </w:tc>
      </w:tr>
      <w:tr w:rsidR="00046510" w14:paraId="10B1F10D" w14:textId="77777777" w:rsidTr="00D2481E">
        <w:trPr>
          <w:cantSplit w:val="0"/>
        </w:trPr>
        <w:tc>
          <w:tcPr>
            <w:tcW w:w="1484" w:type="dxa"/>
            <w:vMerge/>
          </w:tcPr>
          <w:p w14:paraId="4DED09FD" w14:textId="77777777" w:rsidR="00046510" w:rsidRDefault="00046510" w:rsidP="00B519CB">
            <w:pPr>
              <w:rPr>
                <w:b/>
              </w:rPr>
            </w:pPr>
          </w:p>
        </w:tc>
        <w:tc>
          <w:tcPr>
            <w:tcW w:w="1654" w:type="dxa"/>
            <w:vMerge/>
          </w:tcPr>
          <w:p w14:paraId="19A50082" w14:textId="77777777" w:rsidR="00046510" w:rsidRDefault="00046510" w:rsidP="00B519CB">
            <w:pPr>
              <w:rPr>
                <w:b/>
              </w:rPr>
            </w:pPr>
          </w:p>
        </w:tc>
        <w:tc>
          <w:tcPr>
            <w:tcW w:w="4394" w:type="dxa"/>
          </w:tcPr>
          <w:p w14:paraId="6A114DA5" w14:textId="77777777" w:rsidR="00046510" w:rsidRDefault="00046510" w:rsidP="00B519CB">
            <w:pPr>
              <w:rPr>
                <w:b/>
              </w:rPr>
            </w:pPr>
            <w:r>
              <w:rPr>
                <w:b/>
              </w:rPr>
              <w:t xml:space="preserve">Managed: </w:t>
            </w:r>
            <w:r w:rsidR="002F47F7" w:rsidRPr="002F47F7">
              <w:t>Agency privacy risk assessments, which provide a snapshot of an agency’s current privacy risks and how it will manage them as an organisation, are part of the agency’s overall risk assessment, and are conducted and reviewed periodically.</w:t>
            </w:r>
          </w:p>
        </w:tc>
        <w:tc>
          <w:tcPr>
            <w:tcW w:w="1401" w:type="dxa"/>
            <w:vMerge/>
          </w:tcPr>
          <w:p w14:paraId="34DCABA7" w14:textId="77777777" w:rsidR="00046510" w:rsidRPr="00DE51C7" w:rsidRDefault="00046510" w:rsidP="00B519CB"/>
        </w:tc>
      </w:tr>
      <w:tr w:rsidR="00046510" w14:paraId="210C8791" w14:textId="77777777" w:rsidTr="00D2481E">
        <w:trPr>
          <w:cantSplit w:val="0"/>
        </w:trPr>
        <w:tc>
          <w:tcPr>
            <w:tcW w:w="1484" w:type="dxa"/>
            <w:vMerge w:val="restart"/>
          </w:tcPr>
          <w:p w14:paraId="157928DC" w14:textId="77777777" w:rsidR="00046510" w:rsidRDefault="00046510" w:rsidP="00B519CB">
            <w:pPr>
              <w:rPr>
                <w:b/>
              </w:rPr>
            </w:pPr>
            <w:r>
              <w:rPr>
                <w:b/>
              </w:rPr>
              <w:t>PD4.3</w:t>
            </w:r>
          </w:p>
        </w:tc>
        <w:tc>
          <w:tcPr>
            <w:tcW w:w="1654" w:type="dxa"/>
            <w:vMerge w:val="restart"/>
          </w:tcPr>
          <w:p w14:paraId="64214F0B" w14:textId="77777777" w:rsidR="00046510" w:rsidRDefault="00046510" w:rsidP="00B519CB">
            <w:pPr>
              <w:rPr>
                <w:b/>
              </w:rPr>
            </w:pPr>
            <w:r w:rsidRPr="005F1703">
              <w:rPr>
                <w:b/>
              </w:rPr>
              <w:t>Managing project risks</w:t>
            </w:r>
          </w:p>
        </w:tc>
        <w:tc>
          <w:tcPr>
            <w:tcW w:w="4394" w:type="dxa"/>
          </w:tcPr>
          <w:p w14:paraId="6CE25201" w14:textId="77777777" w:rsidR="00046510" w:rsidRDefault="00046510" w:rsidP="00B519CB">
            <w:pPr>
              <w:rPr>
                <w:b/>
              </w:rPr>
            </w:pPr>
            <w:r>
              <w:rPr>
                <w:b/>
              </w:rPr>
              <w:t>Informal:</w:t>
            </w:r>
            <w:r>
              <w:t xml:space="preserve"> </w:t>
            </w:r>
            <w:r w:rsidR="002F47F7" w:rsidRPr="002F47F7">
              <w:t>Project risk assessments, which are done to assess the privacy risk of new or updated processes, products or services, are done occasionally or not at all. The privacy team has little or no visibility of project privacy risks.</w:t>
            </w:r>
          </w:p>
        </w:tc>
        <w:tc>
          <w:tcPr>
            <w:tcW w:w="1401" w:type="dxa"/>
            <w:vMerge w:val="restart"/>
          </w:tcPr>
          <w:p w14:paraId="4170D79D" w14:textId="77777777" w:rsidR="00046510" w:rsidRPr="00DE51C7" w:rsidRDefault="00046510" w:rsidP="00B519CB">
            <w:pPr>
              <w:jc w:val="center"/>
            </w:pPr>
            <w:r w:rsidRPr="00DE51C7">
              <w:rPr>
                <w:highlight w:val="yellow"/>
              </w:rPr>
              <w:t>Type rating here</w:t>
            </w:r>
          </w:p>
        </w:tc>
      </w:tr>
      <w:tr w:rsidR="00046510" w14:paraId="3FBD328C" w14:textId="77777777" w:rsidTr="00D2481E">
        <w:trPr>
          <w:cantSplit w:val="0"/>
        </w:trPr>
        <w:tc>
          <w:tcPr>
            <w:tcW w:w="1484" w:type="dxa"/>
            <w:vMerge/>
          </w:tcPr>
          <w:p w14:paraId="78B97DDE" w14:textId="77777777" w:rsidR="00046510" w:rsidRDefault="00046510" w:rsidP="00B519CB">
            <w:pPr>
              <w:jc w:val="center"/>
              <w:rPr>
                <w:b/>
              </w:rPr>
            </w:pPr>
          </w:p>
        </w:tc>
        <w:tc>
          <w:tcPr>
            <w:tcW w:w="1654" w:type="dxa"/>
            <w:vMerge/>
          </w:tcPr>
          <w:p w14:paraId="7F1EB6B0" w14:textId="77777777" w:rsidR="00046510" w:rsidRDefault="00046510" w:rsidP="00B519CB">
            <w:pPr>
              <w:rPr>
                <w:b/>
              </w:rPr>
            </w:pPr>
          </w:p>
        </w:tc>
        <w:tc>
          <w:tcPr>
            <w:tcW w:w="4394" w:type="dxa"/>
          </w:tcPr>
          <w:p w14:paraId="585386AE" w14:textId="77777777" w:rsidR="00046510" w:rsidRDefault="00F82CAD" w:rsidP="00B519CB">
            <w:pPr>
              <w:rPr>
                <w:b/>
              </w:rPr>
            </w:pPr>
            <w:r>
              <w:rPr>
                <w:b/>
              </w:rPr>
              <w:t>Foundational</w:t>
            </w:r>
            <w:r w:rsidR="00046510">
              <w:rPr>
                <w:b/>
              </w:rPr>
              <w:t xml:space="preserve">: </w:t>
            </w:r>
            <w:r w:rsidR="002F47F7" w:rsidRPr="002F47F7">
              <w:t>Project risk assessments are done to assess the privacy risk of new or updated processes, products or services. Oversight by the privacy team and associated lines of ownership and accountability are not clear.</w:t>
            </w:r>
          </w:p>
        </w:tc>
        <w:tc>
          <w:tcPr>
            <w:tcW w:w="1401" w:type="dxa"/>
            <w:vMerge/>
          </w:tcPr>
          <w:p w14:paraId="1762AE16" w14:textId="77777777" w:rsidR="00046510" w:rsidRDefault="00046510" w:rsidP="00B519CB">
            <w:pPr>
              <w:rPr>
                <w:b/>
              </w:rPr>
            </w:pPr>
          </w:p>
        </w:tc>
      </w:tr>
      <w:tr w:rsidR="00046510" w14:paraId="1AC67AC1" w14:textId="77777777" w:rsidTr="00D2481E">
        <w:trPr>
          <w:cantSplit w:val="0"/>
        </w:trPr>
        <w:tc>
          <w:tcPr>
            <w:tcW w:w="1484" w:type="dxa"/>
            <w:vMerge/>
          </w:tcPr>
          <w:p w14:paraId="5848F34F" w14:textId="77777777" w:rsidR="00046510" w:rsidRDefault="00046510" w:rsidP="00B519CB">
            <w:pPr>
              <w:rPr>
                <w:b/>
              </w:rPr>
            </w:pPr>
          </w:p>
        </w:tc>
        <w:tc>
          <w:tcPr>
            <w:tcW w:w="1654" w:type="dxa"/>
            <w:vMerge/>
          </w:tcPr>
          <w:p w14:paraId="01AAFE5C" w14:textId="77777777" w:rsidR="00046510" w:rsidRDefault="00046510" w:rsidP="00B519CB">
            <w:pPr>
              <w:rPr>
                <w:b/>
              </w:rPr>
            </w:pPr>
          </w:p>
        </w:tc>
        <w:tc>
          <w:tcPr>
            <w:tcW w:w="4394" w:type="dxa"/>
          </w:tcPr>
          <w:p w14:paraId="17ECCF0A" w14:textId="77777777" w:rsidR="00046510" w:rsidRDefault="00046510" w:rsidP="00B519CB">
            <w:pPr>
              <w:rPr>
                <w:b/>
              </w:rPr>
            </w:pPr>
            <w:r>
              <w:rPr>
                <w:b/>
              </w:rPr>
              <w:t xml:space="preserve">Managed: </w:t>
            </w:r>
            <w:r w:rsidR="002F47F7" w:rsidRPr="002F47F7">
              <w:t>Project risk assessments are done to assess the privacy risk of new or updated processes, products or services with the support of and oversight by the privacy team. They cover the whole information life cycle and have clear lines of ownership and accountability.</w:t>
            </w:r>
          </w:p>
        </w:tc>
        <w:tc>
          <w:tcPr>
            <w:tcW w:w="1401" w:type="dxa"/>
            <w:vMerge/>
          </w:tcPr>
          <w:p w14:paraId="72CF6E46" w14:textId="77777777" w:rsidR="00046510" w:rsidRDefault="00046510" w:rsidP="00B519CB">
            <w:pPr>
              <w:rPr>
                <w:b/>
              </w:rPr>
            </w:pPr>
          </w:p>
        </w:tc>
      </w:tr>
      <w:tr w:rsidR="00AE3790" w14:paraId="62C8A4CE" w14:textId="77777777" w:rsidTr="00E50C58">
        <w:trPr>
          <w:cantSplit w:val="0"/>
        </w:trPr>
        <w:tc>
          <w:tcPr>
            <w:tcW w:w="1484" w:type="dxa"/>
          </w:tcPr>
          <w:p w14:paraId="4B5FF363" w14:textId="77777777" w:rsidR="00AE3790" w:rsidRDefault="00AE3790" w:rsidP="00AE3790">
            <w:pPr>
              <w:rPr>
                <w:b/>
              </w:rPr>
            </w:pPr>
            <w:r>
              <w:rPr>
                <w:b/>
              </w:rPr>
              <w:t>Context</w:t>
            </w:r>
            <w:r w:rsidRPr="00E93801">
              <w:rPr>
                <w:b/>
              </w:rPr>
              <w:t>:</w:t>
            </w:r>
          </w:p>
        </w:tc>
        <w:tc>
          <w:tcPr>
            <w:tcW w:w="7449" w:type="dxa"/>
            <w:gridSpan w:val="3"/>
          </w:tcPr>
          <w:p w14:paraId="3B08FC6D" w14:textId="77777777" w:rsidR="00AE3790" w:rsidRPr="00D73E5B" w:rsidRDefault="00AE3790" w:rsidP="00AE3790">
            <w:r w:rsidRPr="004B205D">
              <w:rPr>
                <w:highlight w:val="yellow"/>
              </w:rPr>
              <w:t>(insert comment here)</w:t>
            </w:r>
          </w:p>
        </w:tc>
      </w:tr>
      <w:tr w:rsidR="00AE3790" w14:paraId="6FD1C78D" w14:textId="77777777" w:rsidTr="00E50C58">
        <w:trPr>
          <w:cantSplit w:val="0"/>
        </w:trPr>
        <w:tc>
          <w:tcPr>
            <w:tcW w:w="1484" w:type="dxa"/>
          </w:tcPr>
          <w:p w14:paraId="4667706A" w14:textId="77777777" w:rsidR="00AE3790" w:rsidRDefault="00AE3790" w:rsidP="00AE3790">
            <w:pPr>
              <w:rPr>
                <w:b/>
              </w:rPr>
            </w:pPr>
            <w:r>
              <w:rPr>
                <w:b/>
              </w:rPr>
              <w:t>Achievement:</w:t>
            </w:r>
          </w:p>
        </w:tc>
        <w:tc>
          <w:tcPr>
            <w:tcW w:w="7449" w:type="dxa"/>
            <w:gridSpan w:val="3"/>
          </w:tcPr>
          <w:p w14:paraId="09507CD6" w14:textId="77777777" w:rsidR="00AE3790" w:rsidRPr="004B205D" w:rsidRDefault="00AE3790" w:rsidP="00AE3790">
            <w:pPr>
              <w:rPr>
                <w:highlight w:val="yellow"/>
              </w:rPr>
            </w:pPr>
            <w:r w:rsidRPr="004B205D">
              <w:rPr>
                <w:highlight w:val="yellow"/>
              </w:rPr>
              <w:t>(insert comment here)</w:t>
            </w:r>
          </w:p>
        </w:tc>
      </w:tr>
      <w:tr w:rsidR="00AE3790" w14:paraId="58708768" w14:textId="77777777" w:rsidTr="00E50C58">
        <w:trPr>
          <w:cantSplit w:val="0"/>
        </w:trPr>
        <w:tc>
          <w:tcPr>
            <w:tcW w:w="1484" w:type="dxa"/>
          </w:tcPr>
          <w:p w14:paraId="5DE153B2" w14:textId="77777777" w:rsidR="00AE3790" w:rsidRDefault="00AE3790" w:rsidP="00AE3790">
            <w:pPr>
              <w:rPr>
                <w:b/>
              </w:rPr>
            </w:pPr>
            <w:r>
              <w:rPr>
                <w:b/>
              </w:rPr>
              <w:t>Future focus:</w:t>
            </w:r>
          </w:p>
        </w:tc>
        <w:tc>
          <w:tcPr>
            <w:tcW w:w="7449" w:type="dxa"/>
            <w:gridSpan w:val="3"/>
          </w:tcPr>
          <w:p w14:paraId="2854CE06" w14:textId="77777777" w:rsidR="00AE3790" w:rsidRPr="004B205D" w:rsidRDefault="00AE3790" w:rsidP="00AE3790">
            <w:pPr>
              <w:rPr>
                <w:highlight w:val="yellow"/>
              </w:rPr>
            </w:pPr>
            <w:r w:rsidRPr="004B205D">
              <w:rPr>
                <w:highlight w:val="yellow"/>
              </w:rPr>
              <w:t>(insert comment here)</w:t>
            </w:r>
          </w:p>
        </w:tc>
      </w:tr>
      <w:tr w:rsidR="00AE3790" w14:paraId="6491FA4E" w14:textId="77777777" w:rsidTr="00E50C58">
        <w:trPr>
          <w:cantSplit w:val="0"/>
        </w:trPr>
        <w:tc>
          <w:tcPr>
            <w:tcW w:w="1484" w:type="dxa"/>
          </w:tcPr>
          <w:p w14:paraId="700788B4" w14:textId="77777777" w:rsidR="00AE3790" w:rsidRDefault="00AE3790" w:rsidP="00AE3790">
            <w:pPr>
              <w:rPr>
                <w:b/>
              </w:rPr>
            </w:pPr>
            <w:r>
              <w:rPr>
                <w:b/>
              </w:rPr>
              <w:t>Challenge:</w:t>
            </w:r>
          </w:p>
        </w:tc>
        <w:tc>
          <w:tcPr>
            <w:tcW w:w="7449" w:type="dxa"/>
            <w:gridSpan w:val="3"/>
          </w:tcPr>
          <w:p w14:paraId="6C145F1E" w14:textId="77777777" w:rsidR="00AE3790" w:rsidRPr="004B205D" w:rsidRDefault="00AE3790" w:rsidP="00AE3790">
            <w:pPr>
              <w:rPr>
                <w:highlight w:val="yellow"/>
              </w:rPr>
            </w:pPr>
            <w:r w:rsidRPr="004B205D">
              <w:rPr>
                <w:highlight w:val="yellow"/>
              </w:rPr>
              <w:t>(insert comment here)</w:t>
            </w:r>
          </w:p>
        </w:tc>
      </w:tr>
    </w:tbl>
    <w:p w14:paraId="4F3C7EA4" w14:textId="77777777" w:rsidR="005F1703" w:rsidRDefault="005F1703">
      <w:pPr>
        <w:keepLines w:val="0"/>
        <w:rPr>
          <w:b/>
        </w:rPr>
      </w:pPr>
    </w:p>
    <w:tbl>
      <w:tblPr>
        <w:tblStyle w:val="DIATable"/>
        <w:tblW w:w="0" w:type="auto"/>
        <w:tblLook w:val="04A0" w:firstRow="1" w:lastRow="0" w:firstColumn="1" w:lastColumn="0" w:noHBand="0" w:noVBand="1"/>
      </w:tblPr>
      <w:tblGrid>
        <w:gridCol w:w="1484"/>
        <w:gridCol w:w="1654"/>
        <w:gridCol w:w="4394"/>
        <w:gridCol w:w="1401"/>
      </w:tblGrid>
      <w:tr w:rsidR="00B519CB" w14:paraId="695F6AE9" w14:textId="77777777" w:rsidTr="00B519CB">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7030A0"/>
          </w:tcPr>
          <w:p w14:paraId="5ED34087" w14:textId="77777777" w:rsidR="00B519CB" w:rsidRDefault="00F1505A" w:rsidP="00B519CB">
            <w:pPr>
              <w:rPr>
                <w:b w:val="0"/>
              </w:rPr>
            </w:pPr>
            <w:r>
              <w:t>Privacy domains 5</w:t>
            </w:r>
            <w:r w:rsidRPr="00D73E5B">
              <w:t xml:space="preserve">: </w:t>
            </w:r>
            <w:r w:rsidRPr="005F1703">
              <w:t>Reduce the impact of privacy breaches and incidents through good privacy practices.</w:t>
            </w:r>
          </w:p>
        </w:tc>
      </w:tr>
      <w:tr w:rsidR="00046510" w14:paraId="260058BA" w14:textId="77777777" w:rsidTr="00D2481E">
        <w:trPr>
          <w:cantSplit w:val="0"/>
        </w:trPr>
        <w:tc>
          <w:tcPr>
            <w:tcW w:w="1484" w:type="dxa"/>
            <w:vMerge w:val="restart"/>
          </w:tcPr>
          <w:p w14:paraId="0C954DC1" w14:textId="77777777" w:rsidR="00046510" w:rsidRDefault="00046510" w:rsidP="00F1505A">
            <w:pPr>
              <w:rPr>
                <w:b/>
              </w:rPr>
            </w:pPr>
            <w:r>
              <w:rPr>
                <w:b/>
              </w:rPr>
              <w:t>PD5.1</w:t>
            </w:r>
          </w:p>
        </w:tc>
        <w:tc>
          <w:tcPr>
            <w:tcW w:w="1654" w:type="dxa"/>
            <w:vMerge w:val="restart"/>
          </w:tcPr>
          <w:p w14:paraId="56D4A82C" w14:textId="77777777" w:rsidR="00046510" w:rsidRDefault="00046510" w:rsidP="00F1505A">
            <w:pPr>
              <w:rPr>
                <w:b/>
              </w:rPr>
            </w:pPr>
            <w:r w:rsidRPr="005F1703">
              <w:rPr>
                <w:b/>
              </w:rPr>
              <w:t>Having a privacy incident register</w:t>
            </w:r>
          </w:p>
        </w:tc>
        <w:tc>
          <w:tcPr>
            <w:tcW w:w="4394" w:type="dxa"/>
          </w:tcPr>
          <w:p w14:paraId="37448FA1" w14:textId="77777777" w:rsidR="00046510" w:rsidRPr="005D36E7" w:rsidRDefault="00046510" w:rsidP="00F1505A">
            <w:pPr>
              <w:rPr>
                <w:b/>
              </w:rPr>
            </w:pPr>
            <w:r>
              <w:rPr>
                <w:b/>
              </w:rPr>
              <w:t xml:space="preserve">Informal: </w:t>
            </w:r>
            <w:r w:rsidR="002F47F7" w:rsidRPr="002F47F7">
              <w:t>The agency may have a privacy incident register and/or a privacy incident response plan. Neither are reviewed regularly.</w:t>
            </w:r>
          </w:p>
        </w:tc>
        <w:tc>
          <w:tcPr>
            <w:tcW w:w="1401" w:type="dxa"/>
            <w:vMerge w:val="restart"/>
          </w:tcPr>
          <w:p w14:paraId="5C46DFB0" w14:textId="77777777" w:rsidR="00046510" w:rsidRPr="00DE51C7" w:rsidRDefault="00046510" w:rsidP="00F1505A">
            <w:pPr>
              <w:jc w:val="center"/>
            </w:pPr>
            <w:r w:rsidRPr="00DE51C7">
              <w:rPr>
                <w:highlight w:val="yellow"/>
              </w:rPr>
              <w:t>Type rating here</w:t>
            </w:r>
          </w:p>
        </w:tc>
      </w:tr>
      <w:tr w:rsidR="00046510" w14:paraId="6804AD44" w14:textId="77777777" w:rsidTr="00D2481E">
        <w:trPr>
          <w:cantSplit w:val="0"/>
        </w:trPr>
        <w:tc>
          <w:tcPr>
            <w:tcW w:w="1484" w:type="dxa"/>
            <w:vMerge/>
          </w:tcPr>
          <w:p w14:paraId="76589FB9" w14:textId="77777777" w:rsidR="00046510" w:rsidRDefault="00046510" w:rsidP="00F1505A">
            <w:pPr>
              <w:jc w:val="center"/>
              <w:rPr>
                <w:b/>
              </w:rPr>
            </w:pPr>
          </w:p>
        </w:tc>
        <w:tc>
          <w:tcPr>
            <w:tcW w:w="1654" w:type="dxa"/>
            <w:vMerge/>
          </w:tcPr>
          <w:p w14:paraId="40F47956" w14:textId="77777777" w:rsidR="00046510" w:rsidRDefault="00046510" w:rsidP="00F1505A">
            <w:pPr>
              <w:rPr>
                <w:b/>
              </w:rPr>
            </w:pPr>
          </w:p>
        </w:tc>
        <w:tc>
          <w:tcPr>
            <w:tcW w:w="4394" w:type="dxa"/>
          </w:tcPr>
          <w:p w14:paraId="7DDFBF44" w14:textId="77777777" w:rsidR="00046510" w:rsidRDefault="00F82CAD" w:rsidP="00F1505A">
            <w:pPr>
              <w:rPr>
                <w:b/>
              </w:rPr>
            </w:pPr>
            <w:r>
              <w:rPr>
                <w:b/>
              </w:rPr>
              <w:t>Foundational</w:t>
            </w:r>
            <w:r w:rsidR="00046510">
              <w:rPr>
                <w:b/>
              </w:rPr>
              <w:t xml:space="preserve">: </w:t>
            </w:r>
            <w:r w:rsidR="002F47F7" w:rsidRPr="002F47F7">
              <w:t>The agency has a privacy incident register and a privacy incident response plan. Learning from privacy incidents and breaches is done by individual initiatives.</w:t>
            </w:r>
          </w:p>
        </w:tc>
        <w:tc>
          <w:tcPr>
            <w:tcW w:w="1401" w:type="dxa"/>
            <w:vMerge/>
          </w:tcPr>
          <w:p w14:paraId="0BB98A8B" w14:textId="77777777" w:rsidR="00046510" w:rsidRPr="00DE51C7" w:rsidRDefault="00046510" w:rsidP="00F1505A"/>
        </w:tc>
      </w:tr>
      <w:tr w:rsidR="00046510" w14:paraId="36EC4121" w14:textId="77777777" w:rsidTr="00D2481E">
        <w:trPr>
          <w:cantSplit w:val="0"/>
        </w:trPr>
        <w:tc>
          <w:tcPr>
            <w:tcW w:w="1484" w:type="dxa"/>
            <w:vMerge/>
          </w:tcPr>
          <w:p w14:paraId="16780171" w14:textId="77777777" w:rsidR="00046510" w:rsidRDefault="00046510" w:rsidP="00F1505A">
            <w:pPr>
              <w:rPr>
                <w:b/>
              </w:rPr>
            </w:pPr>
          </w:p>
        </w:tc>
        <w:tc>
          <w:tcPr>
            <w:tcW w:w="1654" w:type="dxa"/>
            <w:vMerge/>
          </w:tcPr>
          <w:p w14:paraId="14DC0992" w14:textId="77777777" w:rsidR="00046510" w:rsidRDefault="00046510" w:rsidP="00F1505A">
            <w:pPr>
              <w:rPr>
                <w:b/>
              </w:rPr>
            </w:pPr>
          </w:p>
        </w:tc>
        <w:tc>
          <w:tcPr>
            <w:tcW w:w="4394" w:type="dxa"/>
          </w:tcPr>
          <w:p w14:paraId="5867DE62" w14:textId="77777777" w:rsidR="002F47F7" w:rsidRDefault="00046510" w:rsidP="002F47F7">
            <w:r>
              <w:rPr>
                <w:b/>
              </w:rPr>
              <w:t xml:space="preserve">Managed: </w:t>
            </w:r>
            <w:r w:rsidR="002F47F7">
              <w:t>The agency has:</w:t>
            </w:r>
          </w:p>
          <w:p w14:paraId="23CB4639" w14:textId="77777777" w:rsidR="002F47F7" w:rsidRPr="002F47F7" w:rsidRDefault="002F47F7" w:rsidP="005D36E7">
            <w:pPr>
              <w:pStyle w:val="ListParagraph"/>
              <w:numPr>
                <w:ilvl w:val="0"/>
                <w:numId w:val="39"/>
              </w:numPr>
              <w:spacing w:before="56" w:after="32"/>
            </w:pPr>
            <w:r w:rsidRPr="002F47F7">
              <w:t>a privacy incident register that is used by staff and/or privacy team</w:t>
            </w:r>
          </w:p>
          <w:p w14:paraId="4851AC68" w14:textId="77777777" w:rsidR="002F47F7" w:rsidRPr="002F47F7" w:rsidRDefault="002F47F7" w:rsidP="005D36E7">
            <w:pPr>
              <w:pStyle w:val="ListParagraph"/>
              <w:numPr>
                <w:ilvl w:val="0"/>
                <w:numId w:val="39"/>
              </w:numPr>
              <w:spacing w:before="56" w:after="32"/>
            </w:pPr>
            <w:r w:rsidRPr="002F47F7">
              <w:t>a tested privacy incident response plan (including partners and third parties) that is integrated into its business continuity planning</w:t>
            </w:r>
          </w:p>
          <w:p w14:paraId="004FF85D" w14:textId="77777777" w:rsidR="00046510" w:rsidRPr="002F47F7" w:rsidRDefault="002F47F7" w:rsidP="005D36E7">
            <w:pPr>
              <w:pStyle w:val="ListParagraph"/>
              <w:numPr>
                <w:ilvl w:val="0"/>
                <w:numId w:val="39"/>
              </w:numPr>
              <w:spacing w:before="56" w:after="32"/>
              <w:rPr>
                <w:b/>
              </w:rPr>
            </w:pPr>
            <w:r w:rsidRPr="002F47F7">
              <w:t>a process for learning from privacy incidents and breaches.</w:t>
            </w:r>
          </w:p>
        </w:tc>
        <w:tc>
          <w:tcPr>
            <w:tcW w:w="1401" w:type="dxa"/>
            <w:vMerge/>
          </w:tcPr>
          <w:p w14:paraId="16F7AE73" w14:textId="77777777" w:rsidR="00046510" w:rsidRPr="00DE51C7" w:rsidRDefault="00046510" w:rsidP="00F1505A"/>
        </w:tc>
      </w:tr>
      <w:tr w:rsidR="00046510" w14:paraId="00E9CC70" w14:textId="77777777" w:rsidTr="00D2481E">
        <w:trPr>
          <w:cantSplit w:val="0"/>
        </w:trPr>
        <w:tc>
          <w:tcPr>
            <w:tcW w:w="1484" w:type="dxa"/>
            <w:vMerge w:val="restart"/>
          </w:tcPr>
          <w:p w14:paraId="208B5E8C" w14:textId="77777777" w:rsidR="00046510" w:rsidRDefault="00046510" w:rsidP="00F1505A">
            <w:pPr>
              <w:rPr>
                <w:b/>
              </w:rPr>
            </w:pPr>
            <w:r>
              <w:rPr>
                <w:b/>
              </w:rPr>
              <w:t>PD5.2</w:t>
            </w:r>
          </w:p>
        </w:tc>
        <w:tc>
          <w:tcPr>
            <w:tcW w:w="1654" w:type="dxa"/>
            <w:vMerge w:val="restart"/>
          </w:tcPr>
          <w:p w14:paraId="1DB6D875" w14:textId="77777777" w:rsidR="00046510" w:rsidRDefault="00046510" w:rsidP="00F1505A">
            <w:pPr>
              <w:rPr>
                <w:b/>
              </w:rPr>
            </w:pPr>
            <w:r w:rsidRPr="005F1703">
              <w:rPr>
                <w:b/>
              </w:rPr>
              <w:t>Minimising collection of personal information</w:t>
            </w:r>
          </w:p>
        </w:tc>
        <w:tc>
          <w:tcPr>
            <w:tcW w:w="4394" w:type="dxa"/>
          </w:tcPr>
          <w:p w14:paraId="0A9AD1CE" w14:textId="77777777" w:rsidR="00046510" w:rsidRDefault="00046510" w:rsidP="00F1505A">
            <w:pPr>
              <w:rPr>
                <w:b/>
              </w:rPr>
            </w:pPr>
            <w:r>
              <w:rPr>
                <w:b/>
              </w:rPr>
              <w:t xml:space="preserve">Informal: </w:t>
            </w:r>
            <w:r w:rsidR="002F47F7" w:rsidRPr="002F47F7">
              <w:t>Consideration of whether personal information needs to be collected is based solely on compliance and risk assessments.</w:t>
            </w:r>
          </w:p>
        </w:tc>
        <w:tc>
          <w:tcPr>
            <w:tcW w:w="1401" w:type="dxa"/>
            <w:vMerge w:val="restart"/>
          </w:tcPr>
          <w:p w14:paraId="706F8262" w14:textId="77777777" w:rsidR="00046510" w:rsidRPr="00DE51C7" w:rsidRDefault="00046510" w:rsidP="00F1505A">
            <w:pPr>
              <w:jc w:val="center"/>
            </w:pPr>
            <w:r w:rsidRPr="00DE51C7">
              <w:rPr>
                <w:highlight w:val="yellow"/>
              </w:rPr>
              <w:t>Type rating here</w:t>
            </w:r>
          </w:p>
        </w:tc>
      </w:tr>
      <w:tr w:rsidR="00046510" w14:paraId="7EE502E9" w14:textId="77777777" w:rsidTr="00D2481E">
        <w:trPr>
          <w:cantSplit w:val="0"/>
        </w:trPr>
        <w:tc>
          <w:tcPr>
            <w:tcW w:w="1484" w:type="dxa"/>
            <w:vMerge/>
          </w:tcPr>
          <w:p w14:paraId="24548848" w14:textId="77777777" w:rsidR="00046510" w:rsidRDefault="00046510" w:rsidP="00F1505A">
            <w:pPr>
              <w:jc w:val="center"/>
              <w:rPr>
                <w:b/>
              </w:rPr>
            </w:pPr>
          </w:p>
        </w:tc>
        <w:tc>
          <w:tcPr>
            <w:tcW w:w="1654" w:type="dxa"/>
            <w:vMerge/>
          </w:tcPr>
          <w:p w14:paraId="59FCF059" w14:textId="77777777" w:rsidR="00046510" w:rsidRDefault="00046510" w:rsidP="00F1505A">
            <w:pPr>
              <w:rPr>
                <w:b/>
              </w:rPr>
            </w:pPr>
          </w:p>
        </w:tc>
        <w:tc>
          <w:tcPr>
            <w:tcW w:w="4394" w:type="dxa"/>
          </w:tcPr>
          <w:p w14:paraId="579D6288" w14:textId="77777777" w:rsidR="00046510" w:rsidRDefault="00F82CAD" w:rsidP="00F1505A">
            <w:pPr>
              <w:rPr>
                <w:b/>
              </w:rPr>
            </w:pPr>
            <w:r>
              <w:rPr>
                <w:b/>
              </w:rPr>
              <w:t>Foundational</w:t>
            </w:r>
            <w:r w:rsidR="00046510">
              <w:rPr>
                <w:b/>
              </w:rPr>
              <w:t xml:space="preserve">: </w:t>
            </w:r>
            <w:r w:rsidR="002F47F7" w:rsidRPr="002F47F7">
              <w:t>Consideration of whether personal information needs to be collected and whether there are alternative ways to accomplish the desired outcome may be done by individual initiatives. Little or no review of the personal information already being collected is done when updating a process, product or service.</w:t>
            </w:r>
          </w:p>
        </w:tc>
        <w:tc>
          <w:tcPr>
            <w:tcW w:w="1401" w:type="dxa"/>
            <w:vMerge/>
          </w:tcPr>
          <w:p w14:paraId="4BD9D59F" w14:textId="77777777" w:rsidR="00046510" w:rsidRPr="00DE51C7" w:rsidRDefault="00046510" w:rsidP="00F1505A"/>
        </w:tc>
      </w:tr>
      <w:tr w:rsidR="00046510" w14:paraId="7D176C93" w14:textId="77777777" w:rsidTr="00D2481E">
        <w:trPr>
          <w:cantSplit w:val="0"/>
        </w:trPr>
        <w:tc>
          <w:tcPr>
            <w:tcW w:w="1484" w:type="dxa"/>
            <w:vMerge/>
          </w:tcPr>
          <w:p w14:paraId="32AD8FCB" w14:textId="77777777" w:rsidR="00046510" w:rsidRDefault="00046510" w:rsidP="00F1505A">
            <w:pPr>
              <w:rPr>
                <w:b/>
              </w:rPr>
            </w:pPr>
          </w:p>
        </w:tc>
        <w:tc>
          <w:tcPr>
            <w:tcW w:w="1654" w:type="dxa"/>
            <w:vMerge/>
          </w:tcPr>
          <w:p w14:paraId="47722EFF" w14:textId="77777777" w:rsidR="00046510" w:rsidRDefault="00046510" w:rsidP="00F1505A">
            <w:pPr>
              <w:rPr>
                <w:b/>
              </w:rPr>
            </w:pPr>
          </w:p>
        </w:tc>
        <w:tc>
          <w:tcPr>
            <w:tcW w:w="4394" w:type="dxa"/>
          </w:tcPr>
          <w:p w14:paraId="0281B4B9" w14:textId="77777777" w:rsidR="00046510" w:rsidRDefault="00046510" w:rsidP="00F1505A">
            <w:pPr>
              <w:rPr>
                <w:b/>
              </w:rPr>
            </w:pPr>
            <w:r>
              <w:rPr>
                <w:b/>
              </w:rPr>
              <w:t xml:space="preserve">Managed: </w:t>
            </w:r>
            <w:r w:rsidR="002F47F7" w:rsidRPr="002F47F7">
              <w:t>The agency collects only personal information that is clearly linked to the desired outcome and investigates alternative ways to accomplish the desired outcome that eliminates or reduces the need for personal information.</w:t>
            </w:r>
          </w:p>
        </w:tc>
        <w:tc>
          <w:tcPr>
            <w:tcW w:w="1401" w:type="dxa"/>
            <w:vMerge/>
          </w:tcPr>
          <w:p w14:paraId="44FEC6A4" w14:textId="77777777" w:rsidR="00046510" w:rsidRPr="00DE51C7" w:rsidRDefault="00046510" w:rsidP="00F1505A"/>
        </w:tc>
      </w:tr>
      <w:tr w:rsidR="00046510" w14:paraId="5DCCEB53" w14:textId="77777777" w:rsidTr="00D2481E">
        <w:trPr>
          <w:cantSplit w:val="0"/>
        </w:trPr>
        <w:tc>
          <w:tcPr>
            <w:tcW w:w="1484" w:type="dxa"/>
            <w:vMerge w:val="restart"/>
          </w:tcPr>
          <w:p w14:paraId="06AD42EF" w14:textId="77777777" w:rsidR="00046510" w:rsidRDefault="00046510" w:rsidP="00F1505A">
            <w:pPr>
              <w:rPr>
                <w:b/>
              </w:rPr>
            </w:pPr>
            <w:r>
              <w:rPr>
                <w:b/>
              </w:rPr>
              <w:t>PD5.3</w:t>
            </w:r>
          </w:p>
        </w:tc>
        <w:tc>
          <w:tcPr>
            <w:tcW w:w="1654" w:type="dxa"/>
            <w:vMerge w:val="restart"/>
          </w:tcPr>
          <w:p w14:paraId="3FED844B" w14:textId="77777777" w:rsidR="00046510" w:rsidRDefault="00046510" w:rsidP="00F1505A">
            <w:pPr>
              <w:rPr>
                <w:b/>
              </w:rPr>
            </w:pPr>
            <w:r w:rsidRPr="005F1703">
              <w:rPr>
                <w:b/>
              </w:rPr>
              <w:t>Retaining personal information</w:t>
            </w:r>
          </w:p>
        </w:tc>
        <w:tc>
          <w:tcPr>
            <w:tcW w:w="4394" w:type="dxa"/>
          </w:tcPr>
          <w:p w14:paraId="15F9174D" w14:textId="77777777" w:rsidR="00046510" w:rsidRDefault="00046510" w:rsidP="00F1505A">
            <w:pPr>
              <w:rPr>
                <w:b/>
              </w:rPr>
            </w:pPr>
            <w:r>
              <w:rPr>
                <w:b/>
              </w:rPr>
              <w:t>Informal:</w:t>
            </w:r>
            <w:r>
              <w:t xml:space="preserve"> </w:t>
            </w:r>
            <w:r w:rsidR="002F47F7" w:rsidRPr="002F47F7">
              <w:t>The retention and destruction of personal information is done on an ad hoc basis.</w:t>
            </w:r>
          </w:p>
        </w:tc>
        <w:tc>
          <w:tcPr>
            <w:tcW w:w="1401" w:type="dxa"/>
            <w:vMerge w:val="restart"/>
          </w:tcPr>
          <w:p w14:paraId="0FFFA796" w14:textId="77777777" w:rsidR="00046510" w:rsidRPr="00DE51C7" w:rsidRDefault="00046510" w:rsidP="00F1505A">
            <w:pPr>
              <w:jc w:val="center"/>
            </w:pPr>
            <w:r w:rsidRPr="00DE51C7">
              <w:rPr>
                <w:highlight w:val="yellow"/>
              </w:rPr>
              <w:t>Type rating here</w:t>
            </w:r>
          </w:p>
        </w:tc>
      </w:tr>
      <w:tr w:rsidR="00046510" w14:paraId="5DC7DA8C" w14:textId="77777777" w:rsidTr="00D2481E">
        <w:trPr>
          <w:cantSplit w:val="0"/>
        </w:trPr>
        <w:tc>
          <w:tcPr>
            <w:tcW w:w="1484" w:type="dxa"/>
            <w:vMerge/>
          </w:tcPr>
          <w:p w14:paraId="196CB415" w14:textId="77777777" w:rsidR="00046510" w:rsidRDefault="00046510" w:rsidP="00F1505A">
            <w:pPr>
              <w:jc w:val="center"/>
              <w:rPr>
                <w:b/>
              </w:rPr>
            </w:pPr>
          </w:p>
        </w:tc>
        <w:tc>
          <w:tcPr>
            <w:tcW w:w="1654" w:type="dxa"/>
            <w:vMerge/>
          </w:tcPr>
          <w:p w14:paraId="7A4556CD" w14:textId="77777777" w:rsidR="00046510" w:rsidRDefault="00046510" w:rsidP="00F1505A">
            <w:pPr>
              <w:rPr>
                <w:b/>
              </w:rPr>
            </w:pPr>
          </w:p>
        </w:tc>
        <w:tc>
          <w:tcPr>
            <w:tcW w:w="4394" w:type="dxa"/>
          </w:tcPr>
          <w:p w14:paraId="511FFA1F" w14:textId="77777777" w:rsidR="00046510" w:rsidRDefault="00F82CAD" w:rsidP="00F1505A">
            <w:pPr>
              <w:rPr>
                <w:b/>
              </w:rPr>
            </w:pPr>
            <w:r>
              <w:rPr>
                <w:b/>
              </w:rPr>
              <w:t>Foundational</w:t>
            </w:r>
            <w:r w:rsidR="00046510">
              <w:rPr>
                <w:b/>
              </w:rPr>
              <w:t xml:space="preserve">: </w:t>
            </w:r>
            <w:r w:rsidR="002F47F7" w:rsidRPr="002F47F7">
              <w:t>The agency has information policy and practices that include the retention and destruction of personal information.</w:t>
            </w:r>
          </w:p>
        </w:tc>
        <w:tc>
          <w:tcPr>
            <w:tcW w:w="1401" w:type="dxa"/>
            <w:vMerge/>
          </w:tcPr>
          <w:p w14:paraId="52CB56A5" w14:textId="77777777" w:rsidR="00046510" w:rsidRDefault="00046510" w:rsidP="00F1505A">
            <w:pPr>
              <w:rPr>
                <w:b/>
              </w:rPr>
            </w:pPr>
          </w:p>
        </w:tc>
      </w:tr>
      <w:tr w:rsidR="00046510" w14:paraId="62149F36" w14:textId="77777777" w:rsidTr="00D2481E">
        <w:trPr>
          <w:cantSplit w:val="0"/>
        </w:trPr>
        <w:tc>
          <w:tcPr>
            <w:tcW w:w="1484" w:type="dxa"/>
            <w:vMerge/>
          </w:tcPr>
          <w:p w14:paraId="57180832" w14:textId="77777777" w:rsidR="00046510" w:rsidRDefault="00046510" w:rsidP="00F1505A">
            <w:pPr>
              <w:rPr>
                <w:b/>
              </w:rPr>
            </w:pPr>
          </w:p>
        </w:tc>
        <w:tc>
          <w:tcPr>
            <w:tcW w:w="1654" w:type="dxa"/>
            <w:vMerge/>
          </w:tcPr>
          <w:p w14:paraId="4FFF501D" w14:textId="77777777" w:rsidR="00046510" w:rsidRDefault="00046510" w:rsidP="00F1505A">
            <w:pPr>
              <w:rPr>
                <w:b/>
              </w:rPr>
            </w:pPr>
          </w:p>
        </w:tc>
        <w:tc>
          <w:tcPr>
            <w:tcW w:w="4394" w:type="dxa"/>
          </w:tcPr>
          <w:p w14:paraId="10B13C3C" w14:textId="77777777" w:rsidR="00046510" w:rsidRDefault="00046510" w:rsidP="00F1505A">
            <w:pPr>
              <w:rPr>
                <w:b/>
              </w:rPr>
            </w:pPr>
            <w:r>
              <w:rPr>
                <w:b/>
              </w:rPr>
              <w:t xml:space="preserve">Managed: </w:t>
            </w:r>
            <w:r w:rsidR="002F47F7" w:rsidRPr="002F47F7">
              <w:t>The agency has, maintains and promotes information policy and practices that include the retention and destruction of personal information, and this destruction of personal information is authorised by the government’s Chief Archivist.</w:t>
            </w:r>
          </w:p>
        </w:tc>
        <w:tc>
          <w:tcPr>
            <w:tcW w:w="1401" w:type="dxa"/>
            <w:vMerge/>
          </w:tcPr>
          <w:p w14:paraId="7A607926" w14:textId="77777777" w:rsidR="00046510" w:rsidRDefault="00046510" w:rsidP="00F1505A">
            <w:pPr>
              <w:rPr>
                <w:b/>
              </w:rPr>
            </w:pPr>
          </w:p>
        </w:tc>
      </w:tr>
      <w:tr w:rsidR="00AE3790" w14:paraId="38F9E371" w14:textId="77777777" w:rsidTr="00E50C58">
        <w:trPr>
          <w:cantSplit w:val="0"/>
        </w:trPr>
        <w:tc>
          <w:tcPr>
            <w:tcW w:w="1484" w:type="dxa"/>
          </w:tcPr>
          <w:p w14:paraId="4C2CD6EC" w14:textId="77777777" w:rsidR="00AE3790" w:rsidRDefault="00AE3790" w:rsidP="00AE3790">
            <w:pPr>
              <w:rPr>
                <w:b/>
              </w:rPr>
            </w:pPr>
            <w:r>
              <w:rPr>
                <w:b/>
              </w:rPr>
              <w:t>Context</w:t>
            </w:r>
            <w:r w:rsidRPr="00E93801">
              <w:rPr>
                <w:b/>
              </w:rPr>
              <w:t>:</w:t>
            </w:r>
          </w:p>
        </w:tc>
        <w:tc>
          <w:tcPr>
            <w:tcW w:w="7449" w:type="dxa"/>
            <w:gridSpan w:val="3"/>
          </w:tcPr>
          <w:p w14:paraId="6F3E02AF" w14:textId="77777777" w:rsidR="00AE3790" w:rsidRPr="00D73E5B" w:rsidRDefault="00AE3790" w:rsidP="00AE3790">
            <w:r w:rsidRPr="004B205D">
              <w:rPr>
                <w:highlight w:val="yellow"/>
              </w:rPr>
              <w:t>(insert comment here)</w:t>
            </w:r>
          </w:p>
        </w:tc>
      </w:tr>
      <w:tr w:rsidR="00AE3790" w14:paraId="19D1942D" w14:textId="77777777" w:rsidTr="00E50C58">
        <w:trPr>
          <w:cantSplit w:val="0"/>
        </w:trPr>
        <w:tc>
          <w:tcPr>
            <w:tcW w:w="1484" w:type="dxa"/>
          </w:tcPr>
          <w:p w14:paraId="6597473B" w14:textId="77777777" w:rsidR="00AE3790" w:rsidRDefault="00AE3790" w:rsidP="00AE3790">
            <w:pPr>
              <w:rPr>
                <w:b/>
              </w:rPr>
            </w:pPr>
            <w:r>
              <w:rPr>
                <w:b/>
              </w:rPr>
              <w:t>Achievement:</w:t>
            </w:r>
          </w:p>
        </w:tc>
        <w:tc>
          <w:tcPr>
            <w:tcW w:w="7449" w:type="dxa"/>
            <w:gridSpan w:val="3"/>
          </w:tcPr>
          <w:p w14:paraId="779492D3" w14:textId="77777777" w:rsidR="00AE3790" w:rsidRPr="004B205D" w:rsidRDefault="00AE3790" w:rsidP="00AE3790">
            <w:pPr>
              <w:rPr>
                <w:highlight w:val="yellow"/>
              </w:rPr>
            </w:pPr>
            <w:r w:rsidRPr="004B205D">
              <w:rPr>
                <w:highlight w:val="yellow"/>
              </w:rPr>
              <w:t>(insert comment here)</w:t>
            </w:r>
          </w:p>
        </w:tc>
      </w:tr>
      <w:tr w:rsidR="00AE3790" w14:paraId="73B191CD" w14:textId="77777777" w:rsidTr="00E50C58">
        <w:trPr>
          <w:cantSplit w:val="0"/>
        </w:trPr>
        <w:tc>
          <w:tcPr>
            <w:tcW w:w="1484" w:type="dxa"/>
          </w:tcPr>
          <w:p w14:paraId="182E4F01" w14:textId="77777777" w:rsidR="00AE3790" w:rsidRDefault="00AE3790" w:rsidP="00AE3790">
            <w:pPr>
              <w:rPr>
                <w:b/>
              </w:rPr>
            </w:pPr>
            <w:r>
              <w:rPr>
                <w:b/>
              </w:rPr>
              <w:t>Future focus:</w:t>
            </w:r>
          </w:p>
        </w:tc>
        <w:tc>
          <w:tcPr>
            <w:tcW w:w="7449" w:type="dxa"/>
            <w:gridSpan w:val="3"/>
          </w:tcPr>
          <w:p w14:paraId="439985DF" w14:textId="77777777" w:rsidR="00AE3790" w:rsidRPr="004B205D" w:rsidRDefault="00AE3790" w:rsidP="00AE3790">
            <w:pPr>
              <w:rPr>
                <w:highlight w:val="yellow"/>
              </w:rPr>
            </w:pPr>
            <w:r w:rsidRPr="004B205D">
              <w:rPr>
                <w:highlight w:val="yellow"/>
              </w:rPr>
              <w:t>(insert comment here)</w:t>
            </w:r>
          </w:p>
        </w:tc>
      </w:tr>
      <w:tr w:rsidR="00AE3790" w14:paraId="5E4C8DFB" w14:textId="77777777" w:rsidTr="00E50C58">
        <w:trPr>
          <w:cantSplit w:val="0"/>
        </w:trPr>
        <w:tc>
          <w:tcPr>
            <w:tcW w:w="1484" w:type="dxa"/>
          </w:tcPr>
          <w:p w14:paraId="7E3364D9" w14:textId="77777777" w:rsidR="00AE3790" w:rsidRDefault="00AE3790" w:rsidP="00AE3790">
            <w:pPr>
              <w:rPr>
                <w:b/>
              </w:rPr>
            </w:pPr>
            <w:r>
              <w:rPr>
                <w:b/>
              </w:rPr>
              <w:t>Challenge:</w:t>
            </w:r>
          </w:p>
        </w:tc>
        <w:tc>
          <w:tcPr>
            <w:tcW w:w="7449" w:type="dxa"/>
            <w:gridSpan w:val="3"/>
          </w:tcPr>
          <w:p w14:paraId="14B0D0F2" w14:textId="77777777" w:rsidR="00AE3790" w:rsidRPr="004B205D" w:rsidRDefault="00AE3790" w:rsidP="00AE3790">
            <w:pPr>
              <w:rPr>
                <w:highlight w:val="yellow"/>
              </w:rPr>
            </w:pPr>
            <w:r w:rsidRPr="004B205D">
              <w:rPr>
                <w:highlight w:val="yellow"/>
              </w:rPr>
              <w:t>(insert comment here)</w:t>
            </w:r>
          </w:p>
        </w:tc>
      </w:tr>
    </w:tbl>
    <w:p w14:paraId="39EFCD9F" w14:textId="77777777" w:rsidR="005F1703" w:rsidRPr="005D36E7" w:rsidRDefault="005F1703" w:rsidP="005D36E7">
      <w:pPr>
        <w:keepLines w:val="0"/>
        <w:rPr>
          <w:b/>
        </w:rPr>
      </w:pPr>
    </w:p>
    <w:tbl>
      <w:tblPr>
        <w:tblStyle w:val="DIATable"/>
        <w:tblW w:w="8933" w:type="dxa"/>
        <w:tblLook w:val="04A0" w:firstRow="1" w:lastRow="0" w:firstColumn="1" w:lastColumn="0" w:noHBand="0" w:noVBand="1"/>
      </w:tblPr>
      <w:tblGrid>
        <w:gridCol w:w="1484"/>
        <w:gridCol w:w="1570"/>
        <w:gridCol w:w="4544"/>
        <w:gridCol w:w="1335"/>
      </w:tblGrid>
      <w:tr w:rsidR="00F1505A" w14:paraId="61199265" w14:textId="77777777" w:rsidTr="00AE3790">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7030A0"/>
          </w:tcPr>
          <w:p w14:paraId="3FB014C5" w14:textId="77777777" w:rsidR="00F1505A" w:rsidRPr="005D36E7" w:rsidRDefault="00F1505A" w:rsidP="00BE57D7">
            <w:bookmarkStart w:id="2" w:name="_Hlk87534685"/>
            <w:r>
              <w:lastRenderedPageBreak/>
              <w:t>Privacy domains 6</w:t>
            </w:r>
            <w:r w:rsidRPr="00D73E5B">
              <w:t xml:space="preserve">: </w:t>
            </w:r>
            <w:r w:rsidR="002F47F7" w:rsidRPr="002F47F7">
              <w:t>Enable personal information use, reuse and sharing to support a unified public service that provides the public with effective services.</w:t>
            </w:r>
            <w:bookmarkEnd w:id="2"/>
          </w:p>
        </w:tc>
      </w:tr>
      <w:tr w:rsidR="00046510" w14:paraId="5C1B4886" w14:textId="77777777" w:rsidTr="00D2481E">
        <w:trPr>
          <w:cantSplit w:val="0"/>
        </w:trPr>
        <w:tc>
          <w:tcPr>
            <w:tcW w:w="1484" w:type="dxa"/>
            <w:vMerge w:val="restart"/>
          </w:tcPr>
          <w:p w14:paraId="2D121BD0" w14:textId="77777777" w:rsidR="00046510" w:rsidRDefault="00046510" w:rsidP="00F1505A">
            <w:pPr>
              <w:rPr>
                <w:b/>
              </w:rPr>
            </w:pPr>
            <w:r>
              <w:rPr>
                <w:b/>
              </w:rPr>
              <w:t>PD6.1</w:t>
            </w:r>
          </w:p>
        </w:tc>
        <w:tc>
          <w:tcPr>
            <w:tcW w:w="1570" w:type="dxa"/>
            <w:vMerge w:val="restart"/>
          </w:tcPr>
          <w:p w14:paraId="2AC1BC5A" w14:textId="77777777" w:rsidR="00046510" w:rsidRDefault="00F82CAD" w:rsidP="00F1505A">
            <w:pPr>
              <w:rPr>
                <w:b/>
              </w:rPr>
            </w:pPr>
            <w:r w:rsidRPr="00F82CAD">
              <w:rPr>
                <w:b/>
              </w:rPr>
              <w:t>Having policies for sharing personal information</w:t>
            </w:r>
          </w:p>
        </w:tc>
        <w:tc>
          <w:tcPr>
            <w:tcW w:w="4544" w:type="dxa"/>
          </w:tcPr>
          <w:p w14:paraId="65638E9A" w14:textId="77777777" w:rsidR="00046510" w:rsidRPr="005D36E7" w:rsidRDefault="00046510" w:rsidP="00F1505A">
            <w:pPr>
              <w:rPr>
                <w:b/>
              </w:rPr>
            </w:pPr>
            <w:r>
              <w:rPr>
                <w:b/>
              </w:rPr>
              <w:t xml:space="preserve">Informal: </w:t>
            </w:r>
            <w:r w:rsidR="002F47F7" w:rsidRPr="002F47F7">
              <w:t>Decisions to re-use or share personal information are made operationally and on an ad hoc or reactive basis.</w:t>
            </w:r>
          </w:p>
        </w:tc>
        <w:tc>
          <w:tcPr>
            <w:tcW w:w="1335" w:type="dxa"/>
            <w:vMerge w:val="restart"/>
          </w:tcPr>
          <w:p w14:paraId="376295D8" w14:textId="77777777" w:rsidR="00046510" w:rsidRPr="00DE51C7" w:rsidRDefault="00046510" w:rsidP="00F1505A">
            <w:pPr>
              <w:jc w:val="center"/>
            </w:pPr>
            <w:r w:rsidRPr="00DE51C7">
              <w:rPr>
                <w:highlight w:val="yellow"/>
              </w:rPr>
              <w:t>Type rating here</w:t>
            </w:r>
          </w:p>
        </w:tc>
      </w:tr>
      <w:tr w:rsidR="00046510" w14:paraId="217B1C2D" w14:textId="77777777" w:rsidTr="00D2481E">
        <w:trPr>
          <w:cantSplit w:val="0"/>
        </w:trPr>
        <w:tc>
          <w:tcPr>
            <w:tcW w:w="1484" w:type="dxa"/>
            <w:vMerge/>
          </w:tcPr>
          <w:p w14:paraId="1DBA1A58" w14:textId="77777777" w:rsidR="00046510" w:rsidRDefault="00046510" w:rsidP="00F1505A">
            <w:pPr>
              <w:jc w:val="center"/>
              <w:rPr>
                <w:b/>
              </w:rPr>
            </w:pPr>
          </w:p>
        </w:tc>
        <w:tc>
          <w:tcPr>
            <w:tcW w:w="1570" w:type="dxa"/>
            <w:vMerge/>
          </w:tcPr>
          <w:p w14:paraId="07915765" w14:textId="77777777" w:rsidR="00046510" w:rsidRDefault="00046510" w:rsidP="00F1505A">
            <w:pPr>
              <w:rPr>
                <w:b/>
              </w:rPr>
            </w:pPr>
          </w:p>
        </w:tc>
        <w:tc>
          <w:tcPr>
            <w:tcW w:w="4544" w:type="dxa"/>
          </w:tcPr>
          <w:p w14:paraId="6DD284B9" w14:textId="77777777" w:rsidR="00046510" w:rsidRDefault="00F82CAD" w:rsidP="00F1505A">
            <w:pPr>
              <w:rPr>
                <w:b/>
              </w:rPr>
            </w:pPr>
            <w:r>
              <w:rPr>
                <w:b/>
              </w:rPr>
              <w:t>Foundational</w:t>
            </w:r>
            <w:r w:rsidR="00046510">
              <w:rPr>
                <w:b/>
              </w:rPr>
              <w:t xml:space="preserve">: </w:t>
            </w:r>
            <w:r w:rsidR="002F47F7" w:rsidRPr="002F47F7">
              <w:t>Individual initiatives decide whether and how to re-use or share personal information, and this is primarily seen as a risk-based decision.</w:t>
            </w:r>
          </w:p>
        </w:tc>
        <w:tc>
          <w:tcPr>
            <w:tcW w:w="1335" w:type="dxa"/>
            <w:vMerge/>
          </w:tcPr>
          <w:p w14:paraId="403A8E8A" w14:textId="77777777" w:rsidR="00046510" w:rsidRPr="00DE51C7" w:rsidRDefault="00046510" w:rsidP="00F1505A"/>
        </w:tc>
      </w:tr>
      <w:tr w:rsidR="00046510" w14:paraId="6D9E4201" w14:textId="77777777" w:rsidTr="00D2481E">
        <w:trPr>
          <w:cantSplit w:val="0"/>
        </w:trPr>
        <w:tc>
          <w:tcPr>
            <w:tcW w:w="1484" w:type="dxa"/>
            <w:vMerge/>
          </w:tcPr>
          <w:p w14:paraId="0AF4AE3C" w14:textId="77777777" w:rsidR="00046510" w:rsidRDefault="00046510" w:rsidP="00F1505A">
            <w:pPr>
              <w:rPr>
                <w:b/>
              </w:rPr>
            </w:pPr>
          </w:p>
        </w:tc>
        <w:tc>
          <w:tcPr>
            <w:tcW w:w="1570" w:type="dxa"/>
            <w:vMerge/>
          </w:tcPr>
          <w:p w14:paraId="67CCFD00" w14:textId="77777777" w:rsidR="00046510" w:rsidRDefault="00046510" w:rsidP="00F1505A">
            <w:pPr>
              <w:rPr>
                <w:b/>
              </w:rPr>
            </w:pPr>
          </w:p>
        </w:tc>
        <w:tc>
          <w:tcPr>
            <w:tcW w:w="4544" w:type="dxa"/>
          </w:tcPr>
          <w:p w14:paraId="3E12D499" w14:textId="77777777" w:rsidR="002F47F7" w:rsidRDefault="00046510" w:rsidP="002F47F7">
            <w:r>
              <w:rPr>
                <w:b/>
              </w:rPr>
              <w:t xml:space="preserve">Managed: </w:t>
            </w:r>
            <w:r w:rsidR="002F47F7">
              <w:t>Information management and privacy policies include enabling advice on how to appropriately use and share personal information when individuals can be identified.</w:t>
            </w:r>
          </w:p>
          <w:p w14:paraId="7372C520" w14:textId="77777777" w:rsidR="00046510" w:rsidRPr="005D36E7" w:rsidRDefault="002F47F7" w:rsidP="002F47F7">
            <w:pPr>
              <w:rPr>
                <w:b/>
              </w:rPr>
            </w:pPr>
            <w:r>
              <w:t>These policies also refer to relevant external sources (for example, information to support tamariki wellbeing, information sharing under the Family Violence Act 2018).</w:t>
            </w:r>
          </w:p>
        </w:tc>
        <w:tc>
          <w:tcPr>
            <w:tcW w:w="1335" w:type="dxa"/>
            <w:vMerge/>
          </w:tcPr>
          <w:p w14:paraId="15014AC6" w14:textId="77777777" w:rsidR="00046510" w:rsidRPr="00DE51C7" w:rsidRDefault="00046510" w:rsidP="00F1505A"/>
        </w:tc>
      </w:tr>
      <w:tr w:rsidR="00046510" w14:paraId="25A803D6" w14:textId="77777777" w:rsidTr="00D2481E">
        <w:trPr>
          <w:cantSplit w:val="0"/>
        </w:trPr>
        <w:tc>
          <w:tcPr>
            <w:tcW w:w="1484" w:type="dxa"/>
            <w:vMerge w:val="restart"/>
          </w:tcPr>
          <w:p w14:paraId="6B57036B" w14:textId="77777777" w:rsidR="00046510" w:rsidRDefault="00046510" w:rsidP="00F1505A">
            <w:pPr>
              <w:rPr>
                <w:b/>
              </w:rPr>
            </w:pPr>
            <w:r>
              <w:rPr>
                <w:b/>
              </w:rPr>
              <w:t>PD6.2</w:t>
            </w:r>
          </w:p>
        </w:tc>
        <w:tc>
          <w:tcPr>
            <w:tcW w:w="1570" w:type="dxa"/>
            <w:vMerge w:val="restart"/>
          </w:tcPr>
          <w:p w14:paraId="042AFECF" w14:textId="77777777" w:rsidR="00046510" w:rsidRDefault="00F82CAD" w:rsidP="00F1505A">
            <w:pPr>
              <w:rPr>
                <w:b/>
              </w:rPr>
            </w:pPr>
            <w:r w:rsidRPr="00F82CAD">
              <w:rPr>
                <w:b/>
              </w:rPr>
              <w:t>Understanding the use of non-personal information</w:t>
            </w:r>
          </w:p>
        </w:tc>
        <w:tc>
          <w:tcPr>
            <w:tcW w:w="4544" w:type="dxa"/>
          </w:tcPr>
          <w:p w14:paraId="007E0413" w14:textId="77777777" w:rsidR="00046510" w:rsidRDefault="00046510" w:rsidP="00F1505A">
            <w:pPr>
              <w:rPr>
                <w:b/>
              </w:rPr>
            </w:pPr>
            <w:r>
              <w:rPr>
                <w:b/>
              </w:rPr>
              <w:t xml:space="preserve">Informal: </w:t>
            </w:r>
            <w:r w:rsidR="00F82CAD" w:rsidRPr="00F82CAD">
              <w:t>Sharing of non-personal information is ad hoc or reactive.</w:t>
            </w:r>
          </w:p>
        </w:tc>
        <w:tc>
          <w:tcPr>
            <w:tcW w:w="1335" w:type="dxa"/>
            <w:vMerge w:val="restart"/>
          </w:tcPr>
          <w:p w14:paraId="7D6EFB34" w14:textId="07E331CF" w:rsidR="00046510" w:rsidRPr="00DE51C7" w:rsidRDefault="00D2481E" w:rsidP="00F1505A">
            <w:pPr>
              <w:jc w:val="center"/>
            </w:pPr>
            <w:r w:rsidRPr="00DE51C7">
              <w:rPr>
                <w:highlight w:val="yellow"/>
              </w:rPr>
              <w:t>Type rating here</w:t>
            </w:r>
          </w:p>
        </w:tc>
      </w:tr>
      <w:tr w:rsidR="00046510" w14:paraId="712B5D20" w14:textId="77777777" w:rsidTr="00D2481E">
        <w:trPr>
          <w:cantSplit w:val="0"/>
        </w:trPr>
        <w:tc>
          <w:tcPr>
            <w:tcW w:w="1484" w:type="dxa"/>
            <w:vMerge/>
          </w:tcPr>
          <w:p w14:paraId="39A7F731" w14:textId="77777777" w:rsidR="00046510" w:rsidRDefault="00046510" w:rsidP="00F1505A">
            <w:pPr>
              <w:jc w:val="center"/>
              <w:rPr>
                <w:b/>
              </w:rPr>
            </w:pPr>
          </w:p>
        </w:tc>
        <w:tc>
          <w:tcPr>
            <w:tcW w:w="1570" w:type="dxa"/>
            <w:vMerge/>
          </w:tcPr>
          <w:p w14:paraId="7BC2F374" w14:textId="77777777" w:rsidR="00046510" w:rsidRDefault="00046510" w:rsidP="00F1505A">
            <w:pPr>
              <w:rPr>
                <w:b/>
              </w:rPr>
            </w:pPr>
          </w:p>
        </w:tc>
        <w:tc>
          <w:tcPr>
            <w:tcW w:w="4544" w:type="dxa"/>
          </w:tcPr>
          <w:p w14:paraId="0102B57C" w14:textId="7A4C3ED8" w:rsidR="00046510" w:rsidRDefault="00F82CAD" w:rsidP="00F1505A">
            <w:pPr>
              <w:rPr>
                <w:b/>
              </w:rPr>
            </w:pPr>
            <w:r>
              <w:rPr>
                <w:b/>
              </w:rPr>
              <w:t>Foundational</w:t>
            </w:r>
            <w:r w:rsidR="00046510">
              <w:rPr>
                <w:b/>
              </w:rPr>
              <w:t xml:space="preserve">: </w:t>
            </w:r>
            <w:r w:rsidRPr="00F82CAD">
              <w:t>Individual initiatives take steps for the respectful, trusted and transparent use, reuse and sharing of non-personal information that does not identify individuals (for example, data and data sets, analysis, qualitative or quantitative information, statistics, research, reports or studies). Privacy and other relevant policies may contain little or no guidance on this topic.</w:t>
            </w:r>
          </w:p>
        </w:tc>
        <w:tc>
          <w:tcPr>
            <w:tcW w:w="1335" w:type="dxa"/>
            <w:vMerge/>
          </w:tcPr>
          <w:p w14:paraId="5FF911C3" w14:textId="77777777" w:rsidR="00046510" w:rsidRDefault="00046510" w:rsidP="00F1505A">
            <w:pPr>
              <w:rPr>
                <w:b/>
              </w:rPr>
            </w:pPr>
          </w:p>
        </w:tc>
      </w:tr>
      <w:tr w:rsidR="00046510" w14:paraId="768B1EDA" w14:textId="77777777" w:rsidTr="00D2481E">
        <w:trPr>
          <w:cantSplit w:val="0"/>
        </w:trPr>
        <w:tc>
          <w:tcPr>
            <w:tcW w:w="1484" w:type="dxa"/>
            <w:vMerge/>
          </w:tcPr>
          <w:p w14:paraId="27A08086" w14:textId="77777777" w:rsidR="00046510" w:rsidRDefault="00046510" w:rsidP="00F1505A">
            <w:pPr>
              <w:rPr>
                <w:b/>
              </w:rPr>
            </w:pPr>
          </w:p>
        </w:tc>
        <w:tc>
          <w:tcPr>
            <w:tcW w:w="1570" w:type="dxa"/>
            <w:vMerge/>
          </w:tcPr>
          <w:p w14:paraId="536F5DBC" w14:textId="77777777" w:rsidR="00046510" w:rsidRDefault="00046510" w:rsidP="00F1505A">
            <w:pPr>
              <w:rPr>
                <w:b/>
              </w:rPr>
            </w:pPr>
          </w:p>
        </w:tc>
        <w:tc>
          <w:tcPr>
            <w:tcW w:w="4544" w:type="dxa"/>
          </w:tcPr>
          <w:p w14:paraId="726BD2F4" w14:textId="77777777" w:rsidR="00046510" w:rsidRPr="00F82CAD" w:rsidRDefault="00046510" w:rsidP="00CA0554">
            <w:pPr>
              <w:rPr>
                <w:b/>
              </w:rPr>
            </w:pPr>
            <w:r w:rsidRPr="00F82CAD">
              <w:rPr>
                <w:b/>
              </w:rPr>
              <w:t xml:space="preserve">Managed: </w:t>
            </w:r>
            <w:r w:rsidR="00F82CAD" w:rsidRPr="00F82CAD">
              <w:t>Privacy and other relevant policies incorporate advice for the respectful, trusted and transparent use, reuse and sharing of non-personal information that does not identify individuals (for example, data and data sets, analysis, qualitative or quantitative information, statistics, research, reports or studies).</w:t>
            </w:r>
          </w:p>
        </w:tc>
        <w:tc>
          <w:tcPr>
            <w:tcW w:w="1335" w:type="dxa"/>
            <w:vMerge/>
          </w:tcPr>
          <w:p w14:paraId="2D88DCCB" w14:textId="77777777" w:rsidR="00046510" w:rsidRDefault="00046510" w:rsidP="00F1505A">
            <w:pPr>
              <w:rPr>
                <w:b/>
              </w:rPr>
            </w:pPr>
          </w:p>
        </w:tc>
      </w:tr>
      <w:tr w:rsidR="00AE3790" w14:paraId="13BE10D7" w14:textId="77777777" w:rsidTr="004D2DC2">
        <w:trPr>
          <w:cantSplit w:val="0"/>
        </w:trPr>
        <w:tc>
          <w:tcPr>
            <w:tcW w:w="1484" w:type="dxa"/>
          </w:tcPr>
          <w:p w14:paraId="522B797F" w14:textId="77777777" w:rsidR="00AE3790" w:rsidRDefault="00AE3790" w:rsidP="00AE3790">
            <w:pPr>
              <w:rPr>
                <w:b/>
              </w:rPr>
            </w:pPr>
            <w:r>
              <w:rPr>
                <w:b/>
              </w:rPr>
              <w:t>Context</w:t>
            </w:r>
            <w:r w:rsidRPr="00E93801">
              <w:rPr>
                <w:b/>
              </w:rPr>
              <w:t>:</w:t>
            </w:r>
          </w:p>
        </w:tc>
        <w:tc>
          <w:tcPr>
            <w:tcW w:w="7449" w:type="dxa"/>
            <w:gridSpan w:val="3"/>
          </w:tcPr>
          <w:p w14:paraId="68E0D0FB" w14:textId="77777777" w:rsidR="00AE3790" w:rsidRPr="00D73E5B" w:rsidRDefault="00AE3790" w:rsidP="00AE3790">
            <w:r w:rsidRPr="004B205D">
              <w:rPr>
                <w:highlight w:val="yellow"/>
              </w:rPr>
              <w:t>(insert comment here)</w:t>
            </w:r>
          </w:p>
        </w:tc>
      </w:tr>
      <w:tr w:rsidR="00AE3790" w14:paraId="705F1947" w14:textId="77777777" w:rsidTr="004D2DC2">
        <w:trPr>
          <w:cantSplit w:val="0"/>
        </w:trPr>
        <w:tc>
          <w:tcPr>
            <w:tcW w:w="1484" w:type="dxa"/>
          </w:tcPr>
          <w:p w14:paraId="7D98D1E8" w14:textId="77777777" w:rsidR="00AE3790" w:rsidRDefault="00AE3790" w:rsidP="00AE3790">
            <w:pPr>
              <w:rPr>
                <w:b/>
              </w:rPr>
            </w:pPr>
            <w:r>
              <w:rPr>
                <w:b/>
              </w:rPr>
              <w:t>Achievement:</w:t>
            </w:r>
          </w:p>
        </w:tc>
        <w:tc>
          <w:tcPr>
            <w:tcW w:w="7449" w:type="dxa"/>
            <w:gridSpan w:val="3"/>
          </w:tcPr>
          <w:p w14:paraId="6AB9AE42" w14:textId="77777777" w:rsidR="00AE3790" w:rsidRPr="004B205D" w:rsidRDefault="00AE3790" w:rsidP="00AE3790">
            <w:pPr>
              <w:rPr>
                <w:highlight w:val="yellow"/>
              </w:rPr>
            </w:pPr>
            <w:r w:rsidRPr="004B205D">
              <w:rPr>
                <w:highlight w:val="yellow"/>
              </w:rPr>
              <w:t>(insert comment here)</w:t>
            </w:r>
          </w:p>
        </w:tc>
      </w:tr>
      <w:tr w:rsidR="00AE3790" w14:paraId="68D8ABCE" w14:textId="77777777" w:rsidTr="004D2DC2">
        <w:trPr>
          <w:cantSplit w:val="0"/>
        </w:trPr>
        <w:tc>
          <w:tcPr>
            <w:tcW w:w="1484" w:type="dxa"/>
          </w:tcPr>
          <w:p w14:paraId="0B59A9F0" w14:textId="77777777" w:rsidR="00AE3790" w:rsidRDefault="00AE3790" w:rsidP="00AE3790">
            <w:pPr>
              <w:rPr>
                <w:b/>
              </w:rPr>
            </w:pPr>
            <w:r>
              <w:rPr>
                <w:b/>
              </w:rPr>
              <w:t>Future focus:</w:t>
            </w:r>
          </w:p>
        </w:tc>
        <w:tc>
          <w:tcPr>
            <w:tcW w:w="7449" w:type="dxa"/>
            <w:gridSpan w:val="3"/>
          </w:tcPr>
          <w:p w14:paraId="09D91A75" w14:textId="77777777" w:rsidR="00AE3790" w:rsidRPr="004B205D" w:rsidRDefault="00AE3790" w:rsidP="00AE3790">
            <w:pPr>
              <w:rPr>
                <w:highlight w:val="yellow"/>
              </w:rPr>
            </w:pPr>
            <w:r w:rsidRPr="004B205D">
              <w:rPr>
                <w:highlight w:val="yellow"/>
              </w:rPr>
              <w:t>(insert comment here)</w:t>
            </w:r>
          </w:p>
        </w:tc>
      </w:tr>
      <w:tr w:rsidR="00AE3790" w14:paraId="7490A39F" w14:textId="77777777" w:rsidTr="004D2DC2">
        <w:trPr>
          <w:cantSplit w:val="0"/>
        </w:trPr>
        <w:tc>
          <w:tcPr>
            <w:tcW w:w="1484" w:type="dxa"/>
          </w:tcPr>
          <w:p w14:paraId="5B43EB9B" w14:textId="77777777" w:rsidR="00AE3790" w:rsidRDefault="00AE3790" w:rsidP="00AE3790">
            <w:pPr>
              <w:rPr>
                <w:b/>
              </w:rPr>
            </w:pPr>
            <w:r>
              <w:rPr>
                <w:b/>
              </w:rPr>
              <w:t>Challenge:</w:t>
            </w:r>
          </w:p>
        </w:tc>
        <w:tc>
          <w:tcPr>
            <w:tcW w:w="7449" w:type="dxa"/>
            <w:gridSpan w:val="3"/>
          </w:tcPr>
          <w:p w14:paraId="57B2771E" w14:textId="77777777" w:rsidR="00AE3790" w:rsidRPr="004B205D" w:rsidRDefault="00AE3790" w:rsidP="00AE3790">
            <w:pPr>
              <w:rPr>
                <w:highlight w:val="yellow"/>
              </w:rPr>
            </w:pPr>
            <w:r w:rsidRPr="004B205D">
              <w:rPr>
                <w:highlight w:val="yellow"/>
              </w:rPr>
              <w:t>(insert comment here)</w:t>
            </w:r>
          </w:p>
        </w:tc>
      </w:tr>
    </w:tbl>
    <w:p w14:paraId="6BE1EFEA" w14:textId="77777777" w:rsidR="00F3456A" w:rsidRDefault="00F3456A">
      <w:pPr>
        <w:keepLines w:val="0"/>
        <w:rPr>
          <w:b/>
        </w:rPr>
      </w:pPr>
    </w:p>
    <w:p w14:paraId="55BDC63D" w14:textId="77777777" w:rsidR="00315F4F" w:rsidRPr="00D117F8" w:rsidRDefault="00315F4F">
      <w:pPr>
        <w:keepLines w:val="0"/>
        <w:rPr>
          <w:b/>
        </w:rPr>
      </w:pPr>
    </w:p>
    <w:sectPr w:rsidR="00315F4F" w:rsidRPr="00D117F8" w:rsidSect="00CF4BE3">
      <w:footerReference w:type="default" r:id="rId3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E849C" w14:textId="77777777" w:rsidR="002E027A" w:rsidRDefault="002E027A">
      <w:r>
        <w:separator/>
      </w:r>
    </w:p>
    <w:p w14:paraId="7E7240F1" w14:textId="77777777" w:rsidR="002E027A" w:rsidRDefault="002E027A"/>
    <w:p w14:paraId="00324974" w14:textId="77777777" w:rsidR="002E027A" w:rsidRDefault="002E027A"/>
  </w:endnote>
  <w:endnote w:type="continuationSeparator" w:id="0">
    <w:p w14:paraId="280C8E0B" w14:textId="77777777" w:rsidR="002E027A" w:rsidRDefault="002E027A">
      <w:r>
        <w:continuationSeparator/>
      </w:r>
    </w:p>
    <w:p w14:paraId="04B1FFCF" w14:textId="77777777" w:rsidR="002E027A" w:rsidRDefault="002E027A"/>
    <w:p w14:paraId="3BAF6A70" w14:textId="77777777" w:rsidR="002E027A" w:rsidRDefault="002E027A"/>
  </w:endnote>
  <w:endnote w:type="continuationNotice" w:id="1">
    <w:p w14:paraId="4C74BD2B" w14:textId="77777777" w:rsidR="002E027A" w:rsidRDefault="002E027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3A65" w14:textId="77777777" w:rsidR="00C70C96" w:rsidRDefault="00C70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9A15" w14:textId="623DDAF9" w:rsidR="00C70C96" w:rsidRDefault="00C70C96" w:rsidP="00520177">
    <w:pPr>
      <w:pStyle w:val="Header"/>
    </w:pPr>
    <w:r w:rsidRPr="00BE2869">
      <w:rPr>
        <w:i/>
        <w:color w:val="auto"/>
        <w:sz w:val="20"/>
      </w:rPr>
      <w:ptab w:relativeTo="margin" w:alignment="center" w:leader="none"/>
    </w:r>
    <w:r w:rsidRPr="00BE2869">
      <w:rPr>
        <w:i/>
        <w:color w:val="auto"/>
        <w:sz w:val="20"/>
      </w:rPr>
      <w:ptab w:relativeTo="margin" w:alignment="right" w:leader="none"/>
    </w:r>
    <w:r w:rsidRPr="00BE2869">
      <w:rPr>
        <w:i/>
        <w:color w:val="auto"/>
        <w:sz w:val="20"/>
      </w:rPr>
      <w:t xml:space="preserve">Page </w:t>
    </w:r>
    <w:r w:rsidRPr="00BE2869">
      <w:rPr>
        <w:b/>
        <w:i/>
        <w:color w:val="auto"/>
        <w:sz w:val="20"/>
      </w:rPr>
      <w:fldChar w:fldCharType="begin"/>
    </w:r>
    <w:r w:rsidRPr="00BE2869">
      <w:rPr>
        <w:b/>
        <w:i/>
        <w:color w:val="auto"/>
        <w:sz w:val="20"/>
      </w:rPr>
      <w:instrText xml:space="preserve"> PAGE  \* Arabic  \* MERGEFORMAT </w:instrText>
    </w:r>
    <w:r w:rsidRPr="00BE2869">
      <w:rPr>
        <w:b/>
        <w:i/>
        <w:color w:val="auto"/>
        <w:sz w:val="20"/>
      </w:rPr>
      <w:fldChar w:fldCharType="separate"/>
    </w:r>
    <w:r>
      <w:rPr>
        <w:b/>
        <w:i/>
        <w:noProof/>
        <w:color w:val="auto"/>
        <w:sz w:val="20"/>
      </w:rPr>
      <w:t>16</w:t>
    </w:r>
    <w:r w:rsidRPr="00BE2869">
      <w:rPr>
        <w:b/>
        <w:i/>
        <w:color w:val="auto"/>
        <w:sz w:val="20"/>
      </w:rPr>
      <w:fldChar w:fldCharType="end"/>
    </w:r>
    <w:r w:rsidRPr="00BE2869">
      <w:rPr>
        <w:i/>
        <w:color w:val="auto"/>
        <w:sz w:val="20"/>
      </w:rPr>
      <w:t xml:space="preserve"> of </w:t>
    </w:r>
    <w:r>
      <w:rPr>
        <w:b/>
        <w:i/>
        <w:color w:val="auto"/>
        <w:sz w:val="20"/>
      </w:rPr>
      <w:fldChar w:fldCharType="begin"/>
    </w:r>
    <w:r>
      <w:rPr>
        <w:b/>
        <w:i/>
        <w:color w:val="auto"/>
        <w:sz w:val="20"/>
      </w:rPr>
      <w:instrText xml:space="preserve"> NUMPAGES  \* Arabic  \* MERGEFORMAT </w:instrText>
    </w:r>
    <w:r>
      <w:rPr>
        <w:b/>
        <w:i/>
        <w:color w:val="auto"/>
        <w:sz w:val="20"/>
      </w:rPr>
      <w:fldChar w:fldCharType="separate"/>
    </w:r>
    <w:r>
      <w:rPr>
        <w:b/>
        <w:i/>
        <w:noProof/>
        <w:color w:val="auto"/>
        <w:sz w:val="20"/>
      </w:rPr>
      <w:t>16</w:t>
    </w:r>
    <w:r>
      <w:rPr>
        <w:b/>
        <w:i/>
        <w:color w:val="auto"/>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6EA8" w14:textId="77777777" w:rsidR="00C70C96" w:rsidRDefault="00C70C96" w:rsidP="00520177">
    <w:pPr>
      <w:pStyle w:val="Footer"/>
      <w:tabs>
        <w:tab w:val="left" w:pos="10206"/>
      </w:tabs>
      <w:ind w:right="686"/>
      <w:rPr>
        <w:b/>
        <w:i w:val="0"/>
        <w:sz w:val="22"/>
      </w:rPr>
    </w:pPr>
    <w:r w:rsidRPr="00341B15">
      <w:rPr>
        <w:noProof/>
        <w:color w:val="1F497D"/>
        <w:highlight w:val="yellow"/>
      </w:rPr>
      <w:drawing>
        <wp:anchor distT="0" distB="0" distL="114300" distR="114300" simplePos="0" relativeHeight="251658240" behindDoc="0" locked="0" layoutInCell="1" allowOverlap="1" wp14:anchorId="5CF0146E" wp14:editId="014CB2FB">
          <wp:simplePos x="0" y="0"/>
          <wp:positionH relativeFrom="column">
            <wp:posOffset>4610100</wp:posOffset>
          </wp:positionH>
          <wp:positionV relativeFrom="paragraph">
            <wp:posOffset>191770</wp:posOffset>
          </wp:positionV>
          <wp:extent cx="2018665" cy="628650"/>
          <wp:effectExtent l="0" t="0" r="635" b="0"/>
          <wp:wrapSquare wrapText="bothSides"/>
          <wp:docPr id="6" name="Picture 6" descr="Logo-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tes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1866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1B15">
      <w:rPr>
        <w:b/>
        <w:i w:val="0"/>
        <w:sz w:val="22"/>
        <w:highlight w:val="yellow"/>
      </w:rPr>
      <w:t>UNCLASSIFIED</w:t>
    </w:r>
  </w:p>
  <w:p w14:paraId="6A4BF6E0" w14:textId="77777777" w:rsidR="00C70C96" w:rsidRDefault="00C70C96" w:rsidP="00520177">
    <w:pPr>
      <w:pStyle w:val="Header"/>
      <w:spacing w:before="0" w:after="0"/>
      <w:rPr>
        <w:color w:val="A6A6A6" w:themeColor="background1" w:themeShade="A6"/>
        <w:sz w:val="18"/>
      </w:rPr>
    </w:pPr>
    <w:r w:rsidRPr="006514F4">
      <w:rPr>
        <w:color w:val="A6A6A6" w:themeColor="background1" w:themeShade="A6"/>
        <w:sz w:val="18"/>
      </w:rPr>
      <w:t xml:space="preserve">[Agency to reclassify completed report and </w:t>
    </w:r>
    <w:r>
      <w:rPr>
        <w:color w:val="A6A6A6" w:themeColor="background1" w:themeShade="A6"/>
        <w:sz w:val="18"/>
      </w:rPr>
      <w:t>update</w:t>
    </w:r>
    <w:r w:rsidRPr="0003488F">
      <w:rPr>
        <w:color w:val="1F497D"/>
      </w:rPr>
      <w:t xml:space="preserve"> </w:t>
    </w:r>
  </w:p>
  <w:p w14:paraId="7F4AD307" w14:textId="77777777" w:rsidR="00C70C96" w:rsidRPr="00C640A3" w:rsidRDefault="00C70C96" w:rsidP="00520177">
    <w:pPr>
      <w:pStyle w:val="Header"/>
      <w:rPr>
        <w:color w:val="A6A6A6" w:themeColor="background1" w:themeShade="A6"/>
      </w:rPr>
    </w:pPr>
    <w:r w:rsidRPr="006514F4">
      <w:rPr>
        <w:color w:val="A6A6A6" w:themeColor="background1" w:themeShade="A6"/>
        <w:sz w:val="18"/>
      </w:rPr>
      <w:t>protective markings – see content for more guidance]</w:t>
    </w:r>
    <w:r w:rsidRPr="000C427A">
      <w:rPr>
        <w:i/>
      </w:rPr>
      <w:tab/>
    </w:r>
    <w:r w:rsidRPr="000C427A">
      <w:rPr>
        <w:i/>
      </w:rPr>
      <w:tab/>
    </w:r>
    <w:r w:rsidRPr="000C427A">
      <w:rPr>
        <w:i/>
      </w:rPr>
      <w:tab/>
    </w:r>
    <w:r w:rsidRPr="000C427A">
      <w:rPr>
        <w:i/>
      </w:rPr>
      <w:tab/>
    </w:r>
    <w:r w:rsidRPr="000C427A">
      <w:rPr>
        <w:i/>
      </w:rPr>
      <w:tab/>
    </w:r>
    <w:r w:rsidRPr="000C427A">
      <w:rPr>
        <w:i/>
      </w:rPr>
      <w:tab/>
    </w:r>
    <w:r>
      <w:rPr>
        <w:i/>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34B3" w14:textId="77777777" w:rsidR="00C70C96" w:rsidRDefault="00C70C96" w:rsidP="00046510">
    <w:pPr>
      <w:pStyle w:val="Footer"/>
      <w:tabs>
        <w:tab w:val="right" w:pos="9071"/>
      </w:tabs>
      <w:ind w:right="-1"/>
      <w:jc w:val="center"/>
    </w:pPr>
    <w:r>
      <w:t>Classification: [</w:t>
    </w:r>
    <w:r w:rsidRPr="00341B15">
      <w:rPr>
        <w:highlight w:val="yellow"/>
      </w:rPr>
      <w:t>SELECT CLASSIFICATION</w:t>
    </w:r>
    <w:r>
      <w:t>]</w:t>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AF118" w14:textId="77777777" w:rsidR="002E027A" w:rsidRDefault="002E027A" w:rsidP="00FB1990">
      <w:pPr>
        <w:pStyle w:val="Spacer"/>
      </w:pPr>
      <w:r>
        <w:separator/>
      </w:r>
    </w:p>
    <w:p w14:paraId="5DB004E0" w14:textId="77777777" w:rsidR="002E027A" w:rsidRDefault="002E027A" w:rsidP="00FB1990">
      <w:pPr>
        <w:pStyle w:val="Spacer"/>
      </w:pPr>
    </w:p>
  </w:footnote>
  <w:footnote w:type="continuationSeparator" w:id="0">
    <w:p w14:paraId="60EEE521" w14:textId="77777777" w:rsidR="002E027A" w:rsidRDefault="002E027A">
      <w:r>
        <w:continuationSeparator/>
      </w:r>
    </w:p>
    <w:p w14:paraId="47D90392" w14:textId="77777777" w:rsidR="002E027A" w:rsidRDefault="002E027A"/>
    <w:p w14:paraId="6B6AD70C" w14:textId="77777777" w:rsidR="002E027A" w:rsidRDefault="002E027A"/>
  </w:footnote>
  <w:footnote w:type="continuationNotice" w:id="1">
    <w:p w14:paraId="3E7FFE11" w14:textId="77777777" w:rsidR="002E027A" w:rsidRDefault="002E027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7DA2" w14:textId="77777777" w:rsidR="00C70C96" w:rsidRDefault="00C70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6A92" w14:textId="77777777" w:rsidR="00C70C96" w:rsidRDefault="00C70C96" w:rsidP="005201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37F5" w14:textId="61C2C243" w:rsidR="00C70C96" w:rsidRDefault="004D2DC2" w:rsidP="004D2DC2">
    <w:pPr>
      <w:pStyle w:val="Header"/>
      <w:jc w:val="right"/>
      <w:rPr>
        <w:b/>
        <w:color w:val="A6A6A6" w:themeColor="background1" w:themeShade="A6"/>
      </w:rPr>
    </w:pPr>
    <w:r>
      <w:rPr>
        <w:b/>
        <w:noProof/>
        <w:color w:val="A6A6A6" w:themeColor="background1" w:themeShade="A6"/>
      </w:rPr>
      <w:drawing>
        <wp:inline distT="0" distB="0" distL="0" distR="0" wp14:anchorId="5DC5AE55" wp14:editId="07A36214">
          <wp:extent cx="2762218" cy="50330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106" cy="529884"/>
                  </a:xfrm>
                  <a:prstGeom prst="rect">
                    <a:avLst/>
                  </a:prstGeom>
                  <a:noFill/>
                  <a:ln>
                    <a:noFill/>
                  </a:ln>
                </pic:spPr>
              </pic:pic>
            </a:graphicData>
          </a:graphic>
        </wp:inline>
      </w:drawing>
    </w:r>
  </w:p>
  <w:p w14:paraId="13B76E40" w14:textId="747947C3" w:rsidR="00C70C96" w:rsidRPr="00C640A3" w:rsidRDefault="00C70C96">
    <w:pPr>
      <w:pStyle w:val="Header"/>
      <w:rPr>
        <w:b/>
      </w:rPr>
    </w:pPr>
    <w:r>
      <w:rPr>
        <w:noProof/>
      </w:rPr>
      <w:drawing>
        <wp:anchor distT="0" distB="0" distL="114300" distR="114300" simplePos="0" relativeHeight="251656192" behindDoc="1" locked="0" layoutInCell="1" allowOverlap="1" wp14:anchorId="2A564BE4" wp14:editId="4BAA3CEC">
          <wp:simplePos x="0" y="0"/>
          <wp:positionH relativeFrom="page">
            <wp:posOffset>-71120</wp:posOffset>
          </wp:positionH>
          <wp:positionV relativeFrom="margin">
            <wp:posOffset>2863215</wp:posOffset>
          </wp:positionV>
          <wp:extent cx="4599940" cy="4599940"/>
          <wp:effectExtent l="0" t="0" r="0" b="0"/>
          <wp:wrapNone/>
          <wp:docPr id="5" name="Picture 5" descr="T:\IKS\GCPO\guidance documents\Framework-trian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KS\GCPO\guidance documents\Framework-triangle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99940" cy="45999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53D0" w14:textId="4749D99E" w:rsidR="00C70C96" w:rsidRPr="00A000DE" w:rsidRDefault="0069058B" w:rsidP="0069058B">
    <w:pPr>
      <w:pStyle w:val="Header"/>
      <w:spacing w:after="160"/>
      <w:rPr>
        <w:b/>
      </w:rPr>
    </w:pPr>
    <w:r>
      <w:rPr>
        <w:b/>
      </w:rPr>
      <w:t>GCPO: Privacy Maturity Self-Assessment Report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0B55717"/>
    <w:multiLevelType w:val="hybridMultilevel"/>
    <w:tmpl w:val="8FE6EE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12D5B00"/>
    <w:multiLevelType w:val="hybridMultilevel"/>
    <w:tmpl w:val="9DC8A1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36E442A"/>
    <w:multiLevelType w:val="hybridMultilevel"/>
    <w:tmpl w:val="A1B42296"/>
    <w:lvl w:ilvl="0" w:tplc="7F984AA6">
      <w:start w:val="1"/>
      <w:numFmt w:val="bullet"/>
      <w:lvlText w:val=""/>
      <w:lvlJc w:val="left"/>
      <w:pPr>
        <w:ind w:left="720" w:hanging="360"/>
      </w:pPr>
      <w:rPr>
        <w:rFonts w:ascii="Symbol" w:hAnsi="Symbol"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1" w15:restartNumberingAfterBreak="0">
    <w:nsid w:val="07061F5D"/>
    <w:multiLevelType w:val="hybridMultilevel"/>
    <w:tmpl w:val="BDF020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3" w15:restartNumberingAfterBreak="0">
    <w:nsid w:val="08FA04CF"/>
    <w:multiLevelType w:val="hybridMultilevel"/>
    <w:tmpl w:val="64C8D6BE"/>
    <w:lvl w:ilvl="0" w:tplc="7F984AA6">
      <w:start w:val="1"/>
      <w:numFmt w:val="bullet"/>
      <w:lvlText w:val=""/>
      <w:lvlJc w:val="left"/>
      <w:pPr>
        <w:ind w:left="720" w:hanging="360"/>
      </w:pPr>
      <w:rPr>
        <w:rFonts w:ascii="Symbol" w:hAnsi="Symbol"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0B101060"/>
    <w:multiLevelType w:val="hybridMultilevel"/>
    <w:tmpl w:val="E9005F0E"/>
    <w:lvl w:ilvl="0" w:tplc="7F984AA6">
      <w:start w:val="1"/>
      <w:numFmt w:val="bullet"/>
      <w:lvlText w:val=""/>
      <w:lvlJc w:val="left"/>
      <w:pPr>
        <w:ind w:left="720" w:hanging="360"/>
      </w:pPr>
      <w:rPr>
        <w:rFonts w:ascii="Symbol" w:hAnsi="Symbol"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6" w15:restartNumberingAfterBreak="0">
    <w:nsid w:val="0CC626D9"/>
    <w:multiLevelType w:val="hybridMultilevel"/>
    <w:tmpl w:val="5E3A429C"/>
    <w:lvl w:ilvl="0" w:tplc="C4EAE51E">
      <w:start w:val="1"/>
      <w:numFmt w:val="bullet"/>
      <w:lvlText w:val=""/>
      <w:lvlJc w:val="left"/>
      <w:pPr>
        <w:ind w:left="720" w:hanging="360"/>
      </w:pPr>
      <w:rPr>
        <w:rFonts w:ascii="Symbol" w:hAnsi="Symbol"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301330C"/>
    <w:multiLevelType w:val="hybridMultilevel"/>
    <w:tmpl w:val="04660B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7BB2297"/>
    <w:multiLevelType w:val="hybridMultilevel"/>
    <w:tmpl w:val="7FE03B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20"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3911D7B"/>
    <w:multiLevelType w:val="hybridMultilevel"/>
    <w:tmpl w:val="49D619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84055A2"/>
    <w:multiLevelType w:val="hybridMultilevel"/>
    <w:tmpl w:val="FAAEA6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0DC2576"/>
    <w:multiLevelType w:val="hybridMultilevel"/>
    <w:tmpl w:val="996E76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1B64C55"/>
    <w:multiLevelType w:val="hybridMultilevel"/>
    <w:tmpl w:val="43E64A32"/>
    <w:lvl w:ilvl="0" w:tplc="CCF440E0">
      <w:start w:val="1"/>
      <w:numFmt w:val="bullet"/>
      <w:lvlText w:val=""/>
      <w:lvlJc w:val="left"/>
      <w:pPr>
        <w:ind w:left="720" w:hanging="360"/>
      </w:pPr>
      <w:rPr>
        <w:rFonts w:ascii="Symbol" w:hAnsi="Symbol"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1CC0FD6"/>
    <w:multiLevelType w:val="hybridMultilevel"/>
    <w:tmpl w:val="FAFA0A44"/>
    <w:lvl w:ilvl="0" w:tplc="3C1C75FA">
      <w:start w:val="1"/>
      <w:numFmt w:val="bullet"/>
      <w:lvlText w:val=""/>
      <w:lvlJc w:val="left"/>
      <w:pPr>
        <w:ind w:left="720" w:hanging="360"/>
      </w:pPr>
      <w:rPr>
        <w:rFonts w:ascii="Symbol" w:hAnsi="Symbol"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5524FB8"/>
    <w:multiLevelType w:val="hybridMultilevel"/>
    <w:tmpl w:val="291208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56A722D"/>
    <w:multiLevelType w:val="hybridMultilevel"/>
    <w:tmpl w:val="DF9881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3D63348E"/>
    <w:multiLevelType w:val="hybridMultilevel"/>
    <w:tmpl w:val="F73680F8"/>
    <w:lvl w:ilvl="0" w:tplc="7F984AA6">
      <w:start w:val="1"/>
      <w:numFmt w:val="bullet"/>
      <w:lvlText w:val=""/>
      <w:lvlJc w:val="left"/>
      <w:pPr>
        <w:ind w:left="720" w:hanging="360"/>
      </w:pPr>
      <w:rPr>
        <w:rFonts w:ascii="Symbol" w:hAnsi="Symbol"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3E4A573D"/>
    <w:multiLevelType w:val="hybridMultilevel"/>
    <w:tmpl w:val="2AB0FAA0"/>
    <w:lvl w:ilvl="0" w:tplc="7F984AA6">
      <w:start w:val="1"/>
      <w:numFmt w:val="bullet"/>
      <w:lvlText w:val=""/>
      <w:lvlJc w:val="left"/>
      <w:pPr>
        <w:ind w:left="720" w:hanging="360"/>
      </w:pPr>
      <w:rPr>
        <w:rFonts w:ascii="Symbol" w:hAnsi="Symbol"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1470663"/>
    <w:multiLevelType w:val="hybridMultilevel"/>
    <w:tmpl w:val="725A85F6"/>
    <w:lvl w:ilvl="0" w:tplc="7F984AA6">
      <w:start w:val="1"/>
      <w:numFmt w:val="bullet"/>
      <w:lvlText w:val=""/>
      <w:lvlJc w:val="left"/>
      <w:pPr>
        <w:ind w:left="720" w:hanging="360"/>
      </w:pPr>
      <w:rPr>
        <w:rFonts w:ascii="Symbol" w:hAnsi="Symbol"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1F6334A"/>
    <w:multiLevelType w:val="hybridMultilevel"/>
    <w:tmpl w:val="7ABCF4A6"/>
    <w:lvl w:ilvl="0" w:tplc="1409000F">
      <w:start w:val="1"/>
      <w:numFmt w:val="decimal"/>
      <w:lvlText w:val="%1."/>
      <w:lvlJc w:val="left"/>
      <w:pPr>
        <w:ind w:left="1434" w:hanging="360"/>
      </w:pPr>
      <w:rPr>
        <w:rFonts w:hint="default"/>
      </w:rPr>
    </w:lvl>
    <w:lvl w:ilvl="1" w:tplc="14090019" w:tentative="1">
      <w:start w:val="1"/>
      <w:numFmt w:val="lowerLetter"/>
      <w:lvlText w:val="%2."/>
      <w:lvlJc w:val="left"/>
      <w:pPr>
        <w:ind w:left="2154" w:hanging="360"/>
      </w:pPr>
    </w:lvl>
    <w:lvl w:ilvl="2" w:tplc="1409001B" w:tentative="1">
      <w:start w:val="1"/>
      <w:numFmt w:val="lowerRoman"/>
      <w:lvlText w:val="%3."/>
      <w:lvlJc w:val="right"/>
      <w:pPr>
        <w:ind w:left="2874" w:hanging="180"/>
      </w:pPr>
    </w:lvl>
    <w:lvl w:ilvl="3" w:tplc="1409000F" w:tentative="1">
      <w:start w:val="1"/>
      <w:numFmt w:val="decimal"/>
      <w:lvlText w:val="%4."/>
      <w:lvlJc w:val="left"/>
      <w:pPr>
        <w:ind w:left="3594" w:hanging="360"/>
      </w:pPr>
    </w:lvl>
    <w:lvl w:ilvl="4" w:tplc="14090019" w:tentative="1">
      <w:start w:val="1"/>
      <w:numFmt w:val="lowerLetter"/>
      <w:lvlText w:val="%5."/>
      <w:lvlJc w:val="left"/>
      <w:pPr>
        <w:ind w:left="4314" w:hanging="360"/>
      </w:pPr>
    </w:lvl>
    <w:lvl w:ilvl="5" w:tplc="1409001B" w:tentative="1">
      <w:start w:val="1"/>
      <w:numFmt w:val="lowerRoman"/>
      <w:lvlText w:val="%6."/>
      <w:lvlJc w:val="right"/>
      <w:pPr>
        <w:ind w:left="5034" w:hanging="180"/>
      </w:pPr>
    </w:lvl>
    <w:lvl w:ilvl="6" w:tplc="1409000F" w:tentative="1">
      <w:start w:val="1"/>
      <w:numFmt w:val="decimal"/>
      <w:lvlText w:val="%7."/>
      <w:lvlJc w:val="left"/>
      <w:pPr>
        <w:ind w:left="5754" w:hanging="360"/>
      </w:pPr>
    </w:lvl>
    <w:lvl w:ilvl="7" w:tplc="14090019" w:tentative="1">
      <w:start w:val="1"/>
      <w:numFmt w:val="lowerLetter"/>
      <w:lvlText w:val="%8."/>
      <w:lvlJc w:val="left"/>
      <w:pPr>
        <w:ind w:left="6474" w:hanging="360"/>
      </w:pPr>
    </w:lvl>
    <w:lvl w:ilvl="8" w:tplc="1409001B" w:tentative="1">
      <w:start w:val="1"/>
      <w:numFmt w:val="lowerRoman"/>
      <w:lvlText w:val="%9."/>
      <w:lvlJc w:val="right"/>
      <w:pPr>
        <w:ind w:left="7194" w:hanging="180"/>
      </w:pPr>
    </w:lvl>
  </w:abstractNum>
  <w:abstractNum w:abstractNumId="35" w15:restartNumberingAfterBreak="0">
    <w:nsid w:val="44EC45CE"/>
    <w:multiLevelType w:val="hybridMultilevel"/>
    <w:tmpl w:val="96387C62"/>
    <w:lvl w:ilvl="0" w:tplc="2FA8B282">
      <w:start w:val="1"/>
      <w:numFmt w:val="bullet"/>
      <w:lvlText w:val=""/>
      <w:lvlJc w:val="left"/>
      <w:pPr>
        <w:ind w:left="720" w:hanging="360"/>
      </w:pPr>
      <w:rPr>
        <w:rFonts w:ascii="Symbol" w:hAnsi="Symbol"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ADC189E"/>
    <w:multiLevelType w:val="hybridMultilevel"/>
    <w:tmpl w:val="244E51DC"/>
    <w:lvl w:ilvl="0" w:tplc="CCF440E0">
      <w:start w:val="1"/>
      <w:numFmt w:val="bullet"/>
      <w:lvlText w:val=""/>
      <w:lvlJc w:val="left"/>
      <w:pPr>
        <w:ind w:left="720" w:hanging="360"/>
      </w:pPr>
      <w:rPr>
        <w:rFonts w:ascii="Symbol" w:hAnsi="Symbol"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4C547144"/>
    <w:multiLevelType w:val="hybridMultilevel"/>
    <w:tmpl w:val="FEC0B5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50C715B4"/>
    <w:multiLevelType w:val="hybridMultilevel"/>
    <w:tmpl w:val="01EAEDE8"/>
    <w:lvl w:ilvl="0" w:tplc="7F984AA6">
      <w:start w:val="1"/>
      <w:numFmt w:val="bullet"/>
      <w:lvlText w:val=""/>
      <w:lvlJc w:val="left"/>
      <w:pPr>
        <w:ind w:left="720" w:hanging="360"/>
      </w:pPr>
      <w:rPr>
        <w:rFonts w:ascii="Symbol" w:hAnsi="Symbol"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535F351D"/>
    <w:multiLevelType w:val="hybridMultilevel"/>
    <w:tmpl w:val="AC885C3A"/>
    <w:lvl w:ilvl="0" w:tplc="7F984AA6">
      <w:start w:val="1"/>
      <w:numFmt w:val="bullet"/>
      <w:lvlText w:val=""/>
      <w:lvlJc w:val="left"/>
      <w:pPr>
        <w:ind w:left="720" w:hanging="360"/>
      </w:pPr>
      <w:rPr>
        <w:rFonts w:ascii="Symbol" w:hAnsi="Symbol"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399544E"/>
    <w:multiLevelType w:val="hybridMultilevel"/>
    <w:tmpl w:val="DC7C4394"/>
    <w:lvl w:ilvl="0" w:tplc="991AE562">
      <w:start w:val="1"/>
      <w:numFmt w:val="bullet"/>
      <w:lvlText w:val=""/>
      <w:lvlJc w:val="left"/>
      <w:pPr>
        <w:ind w:left="360" w:hanging="360"/>
      </w:pPr>
      <w:rPr>
        <w:rFonts w:ascii="Wingdings" w:hAnsi="Wingdings" w:hint="default"/>
        <w:color w:val="1F546B"/>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560F5088"/>
    <w:multiLevelType w:val="hybridMultilevel"/>
    <w:tmpl w:val="DE9EE8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582F580A"/>
    <w:multiLevelType w:val="hybridMultilevel"/>
    <w:tmpl w:val="648822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C6A23B9"/>
    <w:multiLevelType w:val="hybridMultilevel"/>
    <w:tmpl w:val="A0F6946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8"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9"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50" w15:restartNumberingAfterBreak="0">
    <w:nsid w:val="69A23DA5"/>
    <w:multiLevelType w:val="hybridMultilevel"/>
    <w:tmpl w:val="55C002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6AC55F16"/>
    <w:multiLevelType w:val="hybridMultilevel"/>
    <w:tmpl w:val="86585808"/>
    <w:lvl w:ilvl="0" w:tplc="817AB768">
      <w:start w:val="1"/>
      <w:numFmt w:val="bullet"/>
      <w:lvlText w:val=""/>
      <w:lvlJc w:val="left"/>
      <w:pPr>
        <w:ind w:left="720" w:hanging="360"/>
      </w:pPr>
      <w:rPr>
        <w:rFonts w:ascii="Symbol" w:hAnsi="Symbol"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53" w15:restartNumberingAfterBreak="0">
    <w:nsid w:val="6C863008"/>
    <w:multiLevelType w:val="hybridMultilevel"/>
    <w:tmpl w:val="A2BA2F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55" w15:restartNumberingAfterBreak="0">
    <w:nsid w:val="6E4A4933"/>
    <w:multiLevelType w:val="hybridMultilevel"/>
    <w:tmpl w:val="86CCA3C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744B31D6"/>
    <w:multiLevelType w:val="hybridMultilevel"/>
    <w:tmpl w:val="4F76B8E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7" w15:restartNumberingAfterBreak="0">
    <w:nsid w:val="750A45A8"/>
    <w:multiLevelType w:val="hybridMultilevel"/>
    <w:tmpl w:val="2410C1A6"/>
    <w:lvl w:ilvl="0" w:tplc="14090001">
      <w:start w:val="1"/>
      <w:numFmt w:val="bullet"/>
      <w:lvlText w:val=""/>
      <w:lvlJc w:val="left"/>
      <w:pPr>
        <w:ind w:left="927" w:hanging="360"/>
      </w:pPr>
      <w:rPr>
        <w:rFonts w:ascii="Symbol" w:hAnsi="Symbol"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58"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59" w15:restartNumberingAfterBreak="0">
    <w:nsid w:val="7B901C0E"/>
    <w:multiLevelType w:val="hybridMultilevel"/>
    <w:tmpl w:val="DF10ED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44"/>
  </w:num>
  <w:num w:numId="8">
    <w:abstractNumId w:val="46"/>
  </w:num>
  <w:num w:numId="9">
    <w:abstractNumId w:val="30"/>
  </w:num>
  <w:num w:numId="10">
    <w:abstractNumId w:val="19"/>
  </w:num>
  <w:num w:numId="11">
    <w:abstractNumId w:val="47"/>
  </w:num>
  <w:num w:numId="12">
    <w:abstractNumId w:val="49"/>
  </w:num>
  <w:num w:numId="13">
    <w:abstractNumId w:val="54"/>
  </w:num>
  <w:num w:numId="14">
    <w:abstractNumId w:val="10"/>
  </w:num>
  <w:num w:numId="15">
    <w:abstractNumId w:val="28"/>
  </w:num>
  <w:num w:numId="16">
    <w:abstractNumId w:val="58"/>
  </w:num>
  <w:num w:numId="17">
    <w:abstractNumId w:val="52"/>
  </w:num>
  <w:num w:numId="18">
    <w:abstractNumId w:val="36"/>
  </w:num>
  <w:num w:numId="19">
    <w:abstractNumId w:val="29"/>
  </w:num>
  <w:num w:numId="20">
    <w:abstractNumId w:val="15"/>
  </w:num>
  <w:num w:numId="21">
    <w:abstractNumId w:val="8"/>
  </w:num>
  <w:num w:numId="22">
    <w:abstractNumId w:val="45"/>
  </w:num>
  <w:num w:numId="23">
    <w:abstractNumId w:val="17"/>
  </w:num>
  <w:num w:numId="24">
    <w:abstractNumId w:val="25"/>
  </w:num>
  <w:num w:numId="25">
    <w:abstractNumId w:val="53"/>
  </w:num>
  <w:num w:numId="26">
    <w:abstractNumId w:val="22"/>
  </w:num>
  <w:num w:numId="27">
    <w:abstractNumId w:val="35"/>
  </w:num>
  <w:num w:numId="28">
    <w:abstractNumId w:val="43"/>
  </w:num>
  <w:num w:numId="29">
    <w:abstractNumId w:val="26"/>
  </w:num>
  <w:num w:numId="30">
    <w:abstractNumId w:val="16"/>
  </w:num>
  <w:num w:numId="31">
    <w:abstractNumId w:val="51"/>
  </w:num>
  <w:num w:numId="32">
    <w:abstractNumId w:val="39"/>
  </w:num>
  <w:num w:numId="33">
    <w:abstractNumId w:val="40"/>
  </w:num>
  <w:num w:numId="34">
    <w:abstractNumId w:val="31"/>
  </w:num>
  <w:num w:numId="35">
    <w:abstractNumId w:val="32"/>
  </w:num>
  <w:num w:numId="36">
    <w:abstractNumId w:val="14"/>
  </w:num>
  <w:num w:numId="37">
    <w:abstractNumId w:val="33"/>
  </w:num>
  <w:num w:numId="38">
    <w:abstractNumId w:val="9"/>
  </w:num>
  <w:num w:numId="39">
    <w:abstractNumId w:val="13"/>
  </w:num>
  <w:num w:numId="40">
    <w:abstractNumId w:val="48"/>
  </w:num>
  <w:num w:numId="41">
    <w:abstractNumId w:val="20"/>
  </w:num>
  <w:num w:numId="42">
    <w:abstractNumId w:val="12"/>
  </w:num>
  <w:num w:numId="43">
    <w:abstractNumId w:val="56"/>
  </w:num>
  <w:num w:numId="44">
    <w:abstractNumId w:val="21"/>
  </w:num>
  <w:num w:numId="45">
    <w:abstractNumId w:val="50"/>
  </w:num>
  <w:num w:numId="46">
    <w:abstractNumId w:val="6"/>
  </w:num>
  <w:num w:numId="47">
    <w:abstractNumId w:val="38"/>
  </w:num>
  <w:num w:numId="48">
    <w:abstractNumId w:val="37"/>
  </w:num>
  <w:num w:numId="49">
    <w:abstractNumId w:val="24"/>
  </w:num>
  <w:num w:numId="50">
    <w:abstractNumId w:val="27"/>
  </w:num>
  <w:num w:numId="51">
    <w:abstractNumId w:val="7"/>
  </w:num>
  <w:num w:numId="52">
    <w:abstractNumId w:val="59"/>
  </w:num>
  <w:num w:numId="53">
    <w:abstractNumId w:val="11"/>
  </w:num>
  <w:num w:numId="54">
    <w:abstractNumId w:val="23"/>
  </w:num>
  <w:num w:numId="55">
    <w:abstractNumId w:val="18"/>
  </w:num>
  <w:num w:numId="56">
    <w:abstractNumId w:val="41"/>
  </w:num>
  <w:num w:numId="57">
    <w:abstractNumId w:val="52"/>
  </w:num>
  <w:num w:numId="58">
    <w:abstractNumId w:val="42"/>
  </w:num>
  <w:num w:numId="59">
    <w:abstractNumId w:val="34"/>
  </w:num>
  <w:num w:numId="60">
    <w:abstractNumId w:val="57"/>
  </w:num>
  <w:num w:numId="61">
    <w:abstractNumId w:val="5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8193"/>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DD"/>
    <w:rsid w:val="0000097F"/>
    <w:rsid w:val="00003360"/>
    <w:rsid w:val="00003FC7"/>
    <w:rsid w:val="00005919"/>
    <w:rsid w:val="00007C42"/>
    <w:rsid w:val="00015020"/>
    <w:rsid w:val="0001647B"/>
    <w:rsid w:val="00016E9F"/>
    <w:rsid w:val="00020010"/>
    <w:rsid w:val="00034673"/>
    <w:rsid w:val="00036671"/>
    <w:rsid w:val="00037226"/>
    <w:rsid w:val="000409E2"/>
    <w:rsid w:val="00044EA1"/>
    <w:rsid w:val="00046510"/>
    <w:rsid w:val="00052BB9"/>
    <w:rsid w:val="00054574"/>
    <w:rsid w:val="0005649A"/>
    <w:rsid w:val="00063BB2"/>
    <w:rsid w:val="00065F18"/>
    <w:rsid w:val="00067005"/>
    <w:rsid w:val="000748AC"/>
    <w:rsid w:val="00076035"/>
    <w:rsid w:val="00077013"/>
    <w:rsid w:val="00077B89"/>
    <w:rsid w:val="0008141E"/>
    <w:rsid w:val="00086E69"/>
    <w:rsid w:val="00091C3A"/>
    <w:rsid w:val="0009530B"/>
    <w:rsid w:val="000A602B"/>
    <w:rsid w:val="000B56AF"/>
    <w:rsid w:val="000C5973"/>
    <w:rsid w:val="000D56DC"/>
    <w:rsid w:val="000D61F6"/>
    <w:rsid w:val="000E3240"/>
    <w:rsid w:val="000E677B"/>
    <w:rsid w:val="000E76B7"/>
    <w:rsid w:val="000F4ADF"/>
    <w:rsid w:val="000F61AF"/>
    <w:rsid w:val="000F7CD2"/>
    <w:rsid w:val="000F7FA0"/>
    <w:rsid w:val="0010171C"/>
    <w:rsid w:val="00102FAD"/>
    <w:rsid w:val="00105623"/>
    <w:rsid w:val="00105DDB"/>
    <w:rsid w:val="001127DC"/>
    <w:rsid w:val="00121870"/>
    <w:rsid w:val="0012428D"/>
    <w:rsid w:val="00126FDE"/>
    <w:rsid w:val="00133D91"/>
    <w:rsid w:val="001344D1"/>
    <w:rsid w:val="00136FF1"/>
    <w:rsid w:val="0013703F"/>
    <w:rsid w:val="00140ED2"/>
    <w:rsid w:val="001418DD"/>
    <w:rsid w:val="00143460"/>
    <w:rsid w:val="00143E7C"/>
    <w:rsid w:val="0014415C"/>
    <w:rsid w:val="0014565E"/>
    <w:rsid w:val="001513E4"/>
    <w:rsid w:val="00152B2F"/>
    <w:rsid w:val="001536C9"/>
    <w:rsid w:val="00157545"/>
    <w:rsid w:val="001578D4"/>
    <w:rsid w:val="0016433D"/>
    <w:rsid w:val="00165FF4"/>
    <w:rsid w:val="00167525"/>
    <w:rsid w:val="00184C0F"/>
    <w:rsid w:val="00191A2C"/>
    <w:rsid w:val="001A0CEA"/>
    <w:rsid w:val="001A5F55"/>
    <w:rsid w:val="001B3535"/>
    <w:rsid w:val="001C0031"/>
    <w:rsid w:val="001C0C30"/>
    <w:rsid w:val="001C781D"/>
    <w:rsid w:val="001D0111"/>
    <w:rsid w:val="001D661D"/>
    <w:rsid w:val="001D7EAE"/>
    <w:rsid w:val="001E64FC"/>
    <w:rsid w:val="001E7DEC"/>
    <w:rsid w:val="001F0724"/>
    <w:rsid w:val="001F3063"/>
    <w:rsid w:val="001F73B4"/>
    <w:rsid w:val="002007DF"/>
    <w:rsid w:val="00205FE8"/>
    <w:rsid w:val="00206BA3"/>
    <w:rsid w:val="00215160"/>
    <w:rsid w:val="00215770"/>
    <w:rsid w:val="002224B4"/>
    <w:rsid w:val="00225794"/>
    <w:rsid w:val="00226AE2"/>
    <w:rsid w:val="00226D5E"/>
    <w:rsid w:val="002323E5"/>
    <w:rsid w:val="00233CEB"/>
    <w:rsid w:val="00234424"/>
    <w:rsid w:val="00237A3D"/>
    <w:rsid w:val="00240E83"/>
    <w:rsid w:val="002502D1"/>
    <w:rsid w:val="00260A17"/>
    <w:rsid w:val="002650A2"/>
    <w:rsid w:val="00270EEC"/>
    <w:rsid w:val="00271343"/>
    <w:rsid w:val="00274005"/>
    <w:rsid w:val="002777D8"/>
    <w:rsid w:val="002806A2"/>
    <w:rsid w:val="00297CC7"/>
    <w:rsid w:val="002A194F"/>
    <w:rsid w:val="002A4820"/>
    <w:rsid w:val="002A4BD9"/>
    <w:rsid w:val="002A4FE7"/>
    <w:rsid w:val="002A72F5"/>
    <w:rsid w:val="002A77EC"/>
    <w:rsid w:val="002B1CEB"/>
    <w:rsid w:val="002C5467"/>
    <w:rsid w:val="002C7A31"/>
    <w:rsid w:val="002D3125"/>
    <w:rsid w:val="002D4F42"/>
    <w:rsid w:val="002D6CFC"/>
    <w:rsid w:val="002E027A"/>
    <w:rsid w:val="002F47F7"/>
    <w:rsid w:val="0030084C"/>
    <w:rsid w:val="00302DB1"/>
    <w:rsid w:val="003039E1"/>
    <w:rsid w:val="003129BA"/>
    <w:rsid w:val="003129FE"/>
    <w:rsid w:val="003148FC"/>
    <w:rsid w:val="00315F4F"/>
    <w:rsid w:val="0032132E"/>
    <w:rsid w:val="00326EA5"/>
    <w:rsid w:val="00330820"/>
    <w:rsid w:val="00341B15"/>
    <w:rsid w:val="00342A0A"/>
    <w:rsid w:val="00344D7F"/>
    <w:rsid w:val="003465C8"/>
    <w:rsid w:val="003572A3"/>
    <w:rsid w:val="00360B02"/>
    <w:rsid w:val="0037016B"/>
    <w:rsid w:val="00370FC0"/>
    <w:rsid w:val="00373206"/>
    <w:rsid w:val="003737ED"/>
    <w:rsid w:val="00375706"/>
    <w:rsid w:val="00375B80"/>
    <w:rsid w:val="00377352"/>
    <w:rsid w:val="00394B5C"/>
    <w:rsid w:val="00397263"/>
    <w:rsid w:val="003A10DA"/>
    <w:rsid w:val="003A12C8"/>
    <w:rsid w:val="003A3C02"/>
    <w:rsid w:val="003A3E6E"/>
    <w:rsid w:val="003A6837"/>
    <w:rsid w:val="003A6FFE"/>
    <w:rsid w:val="003A7695"/>
    <w:rsid w:val="003B3A23"/>
    <w:rsid w:val="003B6592"/>
    <w:rsid w:val="003B6D73"/>
    <w:rsid w:val="003C320F"/>
    <w:rsid w:val="003C4B79"/>
    <w:rsid w:val="003C772C"/>
    <w:rsid w:val="003E5476"/>
    <w:rsid w:val="003F236F"/>
    <w:rsid w:val="003F2B58"/>
    <w:rsid w:val="003F48BA"/>
    <w:rsid w:val="003F5886"/>
    <w:rsid w:val="0040020C"/>
    <w:rsid w:val="00401CA0"/>
    <w:rsid w:val="00402B04"/>
    <w:rsid w:val="004052A4"/>
    <w:rsid w:val="004054B9"/>
    <w:rsid w:val="00405DAD"/>
    <w:rsid w:val="0040700B"/>
    <w:rsid w:val="00407F54"/>
    <w:rsid w:val="00411341"/>
    <w:rsid w:val="00413966"/>
    <w:rsid w:val="00415015"/>
    <w:rsid w:val="00415CDB"/>
    <w:rsid w:val="004231DC"/>
    <w:rsid w:val="0042551E"/>
    <w:rsid w:val="00427F63"/>
    <w:rsid w:val="00433AD8"/>
    <w:rsid w:val="00435EC8"/>
    <w:rsid w:val="00437A53"/>
    <w:rsid w:val="004552A0"/>
    <w:rsid w:val="00456B99"/>
    <w:rsid w:val="00457E34"/>
    <w:rsid w:val="00460A83"/>
    <w:rsid w:val="00460B3F"/>
    <w:rsid w:val="004615CA"/>
    <w:rsid w:val="00464752"/>
    <w:rsid w:val="00465562"/>
    <w:rsid w:val="00470C65"/>
    <w:rsid w:val="0047127C"/>
    <w:rsid w:val="00472A55"/>
    <w:rsid w:val="004751FB"/>
    <w:rsid w:val="00476068"/>
    <w:rsid w:val="004763B3"/>
    <w:rsid w:val="00477619"/>
    <w:rsid w:val="004800BD"/>
    <w:rsid w:val="00481D79"/>
    <w:rsid w:val="00486E6E"/>
    <w:rsid w:val="004871B0"/>
    <w:rsid w:val="004875DF"/>
    <w:rsid w:val="00487C1D"/>
    <w:rsid w:val="0049469A"/>
    <w:rsid w:val="00494C6F"/>
    <w:rsid w:val="004A5823"/>
    <w:rsid w:val="004B0AAF"/>
    <w:rsid w:val="004B205D"/>
    <w:rsid w:val="004B214C"/>
    <w:rsid w:val="004B3685"/>
    <w:rsid w:val="004B3924"/>
    <w:rsid w:val="004C2897"/>
    <w:rsid w:val="004C2FFF"/>
    <w:rsid w:val="004C4DDD"/>
    <w:rsid w:val="004C5F40"/>
    <w:rsid w:val="004C6953"/>
    <w:rsid w:val="004C7001"/>
    <w:rsid w:val="004D1706"/>
    <w:rsid w:val="004D243F"/>
    <w:rsid w:val="004D2DC2"/>
    <w:rsid w:val="004D7473"/>
    <w:rsid w:val="004F2E8A"/>
    <w:rsid w:val="004F55E1"/>
    <w:rsid w:val="00501C4B"/>
    <w:rsid w:val="005028A7"/>
    <w:rsid w:val="00504C8A"/>
    <w:rsid w:val="005078B7"/>
    <w:rsid w:val="00510D73"/>
    <w:rsid w:val="00512ACB"/>
    <w:rsid w:val="00512C0E"/>
    <w:rsid w:val="00520177"/>
    <w:rsid w:val="0052216D"/>
    <w:rsid w:val="00526115"/>
    <w:rsid w:val="00533FAF"/>
    <w:rsid w:val="005366B6"/>
    <w:rsid w:val="00545AD8"/>
    <w:rsid w:val="00547672"/>
    <w:rsid w:val="00554BCD"/>
    <w:rsid w:val="00555F60"/>
    <w:rsid w:val="005605A5"/>
    <w:rsid w:val="00560B3C"/>
    <w:rsid w:val="00561A97"/>
    <w:rsid w:val="005628BC"/>
    <w:rsid w:val="00563DAC"/>
    <w:rsid w:val="005647A4"/>
    <w:rsid w:val="005675E0"/>
    <w:rsid w:val="00570A71"/>
    <w:rsid w:val="00570C00"/>
    <w:rsid w:val="0057228B"/>
    <w:rsid w:val="00576AAA"/>
    <w:rsid w:val="0058206B"/>
    <w:rsid w:val="00582670"/>
    <w:rsid w:val="00584724"/>
    <w:rsid w:val="00585690"/>
    <w:rsid w:val="00586E48"/>
    <w:rsid w:val="005913EC"/>
    <w:rsid w:val="00591BDC"/>
    <w:rsid w:val="00594AAA"/>
    <w:rsid w:val="00595B33"/>
    <w:rsid w:val="0059662F"/>
    <w:rsid w:val="005A5629"/>
    <w:rsid w:val="005B7254"/>
    <w:rsid w:val="005B77D4"/>
    <w:rsid w:val="005C46C0"/>
    <w:rsid w:val="005C764B"/>
    <w:rsid w:val="005C7CB7"/>
    <w:rsid w:val="005D0005"/>
    <w:rsid w:val="005D3066"/>
    <w:rsid w:val="005D36E7"/>
    <w:rsid w:val="005E4B13"/>
    <w:rsid w:val="005E4C02"/>
    <w:rsid w:val="005F01DF"/>
    <w:rsid w:val="005F03B5"/>
    <w:rsid w:val="005F1703"/>
    <w:rsid w:val="005F76CC"/>
    <w:rsid w:val="005F7FF8"/>
    <w:rsid w:val="006004C4"/>
    <w:rsid w:val="00600CA4"/>
    <w:rsid w:val="00602416"/>
    <w:rsid w:val="006025CE"/>
    <w:rsid w:val="006029D1"/>
    <w:rsid w:val="00603635"/>
    <w:rsid w:val="006041F2"/>
    <w:rsid w:val="006064F5"/>
    <w:rsid w:val="00606F42"/>
    <w:rsid w:val="006107DD"/>
    <w:rsid w:val="0061155E"/>
    <w:rsid w:val="00612F66"/>
    <w:rsid w:val="00617298"/>
    <w:rsid w:val="006174F3"/>
    <w:rsid w:val="0061767E"/>
    <w:rsid w:val="00627957"/>
    <w:rsid w:val="00631C95"/>
    <w:rsid w:val="00633487"/>
    <w:rsid w:val="006339B1"/>
    <w:rsid w:val="0063518B"/>
    <w:rsid w:val="00637753"/>
    <w:rsid w:val="00644421"/>
    <w:rsid w:val="00652AB3"/>
    <w:rsid w:val="00656C93"/>
    <w:rsid w:val="00660CE4"/>
    <w:rsid w:val="00662716"/>
    <w:rsid w:val="0066605F"/>
    <w:rsid w:val="00670FEE"/>
    <w:rsid w:val="00676C9F"/>
    <w:rsid w:val="00677B13"/>
    <w:rsid w:val="00677F4E"/>
    <w:rsid w:val="00677F8A"/>
    <w:rsid w:val="00681A08"/>
    <w:rsid w:val="00685ECF"/>
    <w:rsid w:val="006875B8"/>
    <w:rsid w:val="00687CEA"/>
    <w:rsid w:val="0069058B"/>
    <w:rsid w:val="00694E01"/>
    <w:rsid w:val="00695171"/>
    <w:rsid w:val="00695B75"/>
    <w:rsid w:val="00696982"/>
    <w:rsid w:val="006A085D"/>
    <w:rsid w:val="006A1A95"/>
    <w:rsid w:val="006A38B7"/>
    <w:rsid w:val="006A5C31"/>
    <w:rsid w:val="006B1CB2"/>
    <w:rsid w:val="006B1DD1"/>
    <w:rsid w:val="006B3396"/>
    <w:rsid w:val="006B4FE7"/>
    <w:rsid w:val="006C195E"/>
    <w:rsid w:val="006D49E1"/>
    <w:rsid w:val="006D638F"/>
    <w:rsid w:val="006D7384"/>
    <w:rsid w:val="006E7BF7"/>
    <w:rsid w:val="00702F2C"/>
    <w:rsid w:val="007068C8"/>
    <w:rsid w:val="00715B8F"/>
    <w:rsid w:val="00726F87"/>
    <w:rsid w:val="0073106E"/>
    <w:rsid w:val="00735957"/>
    <w:rsid w:val="00737A38"/>
    <w:rsid w:val="00752DF0"/>
    <w:rsid w:val="00755142"/>
    <w:rsid w:val="00756BB7"/>
    <w:rsid w:val="0075764B"/>
    <w:rsid w:val="00760C01"/>
    <w:rsid w:val="00761293"/>
    <w:rsid w:val="00767ACD"/>
    <w:rsid w:val="00767C04"/>
    <w:rsid w:val="00771298"/>
    <w:rsid w:val="007736A2"/>
    <w:rsid w:val="007739BF"/>
    <w:rsid w:val="00774B86"/>
    <w:rsid w:val="007925C4"/>
    <w:rsid w:val="00794003"/>
    <w:rsid w:val="007A2C0F"/>
    <w:rsid w:val="007A6226"/>
    <w:rsid w:val="007B3C61"/>
    <w:rsid w:val="007C764A"/>
    <w:rsid w:val="007D1918"/>
    <w:rsid w:val="007D5F97"/>
    <w:rsid w:val="007F03F2"/>
    <w:rsid w:val="007F5C8D"/>
    <w:rsid w:val="007F674B"/>
    <w:rsid w:val="007F7009"/>
    <w:rsid w:val="008031DF"/>
    <w:rsid w:val="008065D7"/>
    <w:rsid w:val="008108C9"/>
    <w:rsid w:val="008111A3"/>
    <w:rsid w:val="00816E30"/>
    <w:rsid w:val="0082264B"/>
    <w:rsid w:val="0082765B"/>
    <w:rsid w:val="008352B1"/>
    <w:rsid w:val="008353E7"/>
    <w:rsid w:val="00835BD7"/>
    <w:rsid w:val="008428E8"/>
    <w:rsid w:val="00843D71"/>
    <w:rsid w:val="00846F11"/>
    <w:rsid w:val="0084745A"/>
    <w:rsid w:val="00847A77"/>
    <w:rsid w:val="008504D0"/>
    <w:rsid w:val="008644AD"/>
    <w:rsid w:val="00870045"/>
    <w:rsid w:val="0087499B"/>
    <w:rsid w:val="00876E5F"/>
    <w:rsid w:val="0088115B"/>
    <w:rsid w:val="008831B1"/>
    <w:rsid w:val="00884A12"/>
    <w:rsid w:val="00890CE4"/>
    <w:rsid w:val="00891ED7"/>
    <w:rsid w:val="008A2B09"/>
    <w:rsid w:val="008B1E06"/>
    <w:rsid w:val="008B35C2"/>
    <w:rsid w:val="008B7B54"/>
    <w:rsid w:val="008C3187"/>
    <w:rsid w:val="008C5E4F"/>
    <w:rsid w:val="008C7497"/>
    <w:rsid w:val="008D174D"/>
    <w:rsid w:val="008D5522"/>
    <w:rsid w:val="008D5CC4"/>
    <w:rsid w:val="008D63B7"/>
    <w:rsid w:val="008D6A03"/>
    <w:rsid w:val="008D6CA7"/>
    <w:rsid w:val="008E508C"/>
    <w:rsid w:val="008E511F"/>
    <w:rsid w:val="008E7700"/>
    <w:rsid w:val="008E7FEE"/>
    <w:rsid w:val="008F2F06"/>
    <w:rsid w:val="008F31F5"/>
    <w:rsid w:val="008F67F5"/>
    <w:rsid w:val="008F6BCE"/>
    <w:rsid w:val="00900331"/>
    <w:rsid w:val="00900D4B"/>
    <w:rsid w:val="009037E2"/>
    <w:rsid w:val="00905F9B"/>
    <w:rsid w:val="00913E95"/>
    <w:rsid w:val="009170B9"/>
    <w:rsid w:val="00923A87"/>
    <w:rsid w:val="00927482"/>
    <w:rsid w:val="00936FF5"/>
    <w:rsid w:val="0094654B"/>
    <w:rsid w:val="0095112B"/>
    <w:rsid w:val="009516E6"/>
    <w:rsid w:val="00952BC6"/>
    <w:rsid w:val="0095419A"/>
    <w:rsid w:val="0095627B"/>
    <w:rsid w:val="0095712A"/>
    <w:rsid w:val="0096165E"/>
    <w:rsid w:val="00962DB5"/>
    <w:rsid w:val="009646A3"/>
    <w:rsid w:val="00973859"/>
    <w:rsid w:val="00973A6D"/>
    <w:rsid w:val="0097585B"/>
    <w:rsid w:val="00975C63"/>
    <w:rsid w:val="009804E0"/>
    <w:rsid w:val="00983735"/>
    <w:rsid w:val="009865AA"/>
    <w:rsid w:val="00987080"/>
    <w:rsid w:val="0098765A"/>
    <w:rsid w:val="00987E5B"/>
    <w:rsid w:val="009910D5"/>
    <w:rsid w:val="00991620"/>
    <w:rsid w:val="009968B0"/>
    <w:rsid w:val="009971ED"/>
    <w:rsid w:val="009A48EF"/>
    <w:rsid w:val="009A594A"/>
    <w:rsid w:val="009A6CB2"/>
    <w:rsid w:val="009A78F2"/>
    <w:rsid w:val="009A7ACF"/>
    <w:rsid w:val="009B0982"/>
    <w:rsid w:val="009B4C99"/>
    <w:rsid w:val="009B529C"/>
    <w:rsid w:val="009C13FB"/>
    <w:rsid w:val="009D28CF"/>
    <w:rsid w:val="009E5D36"/>
    <w:rsid w:val="009E6375"/>
    <w:rsid w:val="009E7CA0"/>
    <w:rsid w:val="009E7F3F"/>
    <w:rsid w:val="00A04392"/>
    <w:rsid w:val="00A069CE"/>
    <w:rsid w:val="00A10695"/>
    <w:rsid w:val="00A109D8"/>
    <w:rsid w:val="00A16003"/>
    <w:rsid w:val="00A167D7"/>
    <w:rsid w:val="00A23D39"/>
    <w:rsid w:val="00A23EC2"/>
    <w:rsid w:val="00A24FBB"/>
    <w:rsid w:val="00A3453E"/>
    <w:rsid w:val="00A42ED2"/>
    <w:rsid w:val="00A44B33"/>
    <w:rsid w:val="00A45D89"/>
    <w:rsid w:val="00A50E00"/>
    <w:rsid w:val="00A52529"/>
    <w:rsid w:val="00A53624"/>
    <w:rsid w:val="00A55EAF"/>
    <w:rsid w:val="00A5766B"/>
    <w:rsid w:val="00A72C37"/>
    <w:rsid w:val="00A77512"/>
    <w:rsid w:val="00A863E3"/>
    <w:rsid w:val="00A86772"/>
    <w:rsid w:val="00A913CD"/>
    <w:rsid w:val="00A940A2"/>
    <w:rsid w:val="00A94161"/>
    <w:rsid w:val="00A97164"/>
    <w:rsid w:val="00A97BFB"/>
    <w:rsid w:val="00AA3184"/>
    <w:rsid w:val="00AA5D3A"/>
    <w:rsid w:val="00AB0BBC"/>
    <w:rsid w:val="00AB17DD"/>
    <w:rsid w:val="00AB3A92"/>
    <w:rsid w:val="00AB478B"/>
    <w:rsid w:val="00AB47AC"/>
    <w:rsid w:val="00AB4AD9"/>
    <w:rsid w:val="00AB53FA"/>
    <w:rsid w:val="00AD326A"/>
    <w:rsid w:val="00AD6E77"/>
    <w:rsid w:val="00AD7A25"/>
    <w:rsid w:val="00AE2666"/>
    <w:rsid w:val="00AE3790"/>
    <w:rsid w:val="00AE478C"/>
    <w:rsid w:val="00AF007F"/>
    <w:rsid w:val="00AF3A5A"/>
    <w:rsid w:val="00AF3E15"/>
    <w:rsid w:val="00AF41C5"/>
    <w:rsid w:val="00AF5218"/>
    <w:rsid w:val="00AF60A0"/>
    <w:rsid w:val="00B01A6F"/>
    <w:rsid w:val="00B0480E"/>
    <w:rsid w:val="00B1026A"/>
    <w:rsid w:val="00B21166"/>
    <w:rsid w:val="00B263AE"/>
    <w:rsid w:val="00B33A6C"/>
    <w:rsid w:val="00B344CD"/>
    <w:rsid w:val="00B364B7"/>
    <w:rsid w:val="00B42F17"/>
    <w:rsid w:val="00B43A02"/>
    <w:rsid w:val="00B44614"/>
    <w:rsid w:val="00B47091"/>
    <w:rsid w:val="00B50116"/>
    <w:rsid w:val="00B519CB"/>
    <w:rsid w:val="00B56534"/>
    <w:rsid w:val="00B57A21"/>
    <w:rsid w:val="00B60BDB"/>
    <w:rsid w:val="00B62C3E"/>
    <w:rsid w:val="00B645DE"/>
    <w:rsid w:val="00B65857"/>
    <w:rsid w:val="00B66698"/>
    <w:rsid w:val="00B745DC"/>
    <w:rsid w:val="00B75FA3"/>
    <w:rsid w:val="00B84350"/>
    <w:rsid w:val="00B855A6"/>
    <w:rsid w:val="00B91098"/>
    <w:rsid w:val="00B91904"/>
    <w:rsid w:val="00B92735"/>
    <w:rsid w:val="00B969ED"/>
    <w:rsid w:val="00BA20FC"/>
    <w:rsid w:val="00BA77F1"/>
    <w:rsid w:val="00BB0D90"/>
    <w:rsid w:val="00BB60C6"/>
    <w:rsid w:val="00BB7984"/>
    <w:rsid w:val="00BC45F7"/>
    <w:rsid w:val="00BC4F78"/>
    <w:rsid w:val="00BC6A06"/>
    <w:rsid w:val="00BD137C"/>
    <w:rsid w:val="00BD7551"/>
    <w:rsid w:val="00BE3BC7"/>
    <w:rsid w:val="00BE4780"/>
    <w:rsid w:val="00BE57D7"/>
    <w:rsid w:val="00BF1A34"/>
    <w:rsid w:val="00BF1AB7"/>
    <w:rsid w:val="00BF7FE9"/>
    <w:rsid w:val="00C029E5"/>
    <w:rsid w:val="00C03596"/>
    <w:rsid w:val="00C05EEC"/>
    <w:rsid w:val="00C130BF"/>
    <w:rsid w:val="00C15A13"/>
    <w:rsid w:val="00C165E4"/>
    <w:rsid w:val="00C238D9"/>
    <w:rsid w:val="00C24A9D"/>
    <w:rsid w:val="00C2677E"/>
    <w:rsid w:val="00C31542"/>
    <w:rsid w:val="00C43CDF"/>
    <w:rsid w:val="00C44CF3"/>
    <w:rsid w:val="00C5028E"/>
    <w:rsid w:val="00C54E78"/>
    <w:rsid w:val="00C55219"/>
    <w:rsid w:val="00C5698E"/>
    <w:rsid w:val="00C6078D"/>
    <w:rsid w:val="00C62B18"/>
    <w:rsid w:val="00C657CF"/>
    <w:rsid w:val="00C70C96"/>
    <w:rsid w:val="00C80D62"/>
    <w:rsid w:val="00C8388B"/>
    <w:rsid w:val="00C84944"/>
    <w:rsid w:val="00C856BD"/>
    <w:rsid w:val="00C90217"/>
    <w:rsid w:val="00C91AC7"/>
    <w:rsid w:val="00C96BFD"/>
    <w:rsid w:val="00C96C98"/>
    <w:rsid w:val="00C979C0"/>
    <w:rsid w:val="00CA0554"/>
    <w:rsid w:val="00CA4905"/>
    <w:rsid w:val="00CA5358"/>
    <w:rsid w:val="00CB0B17"/>
    <w:rsid w:val="00CB12EB"/>
    <w:rsid w:val="00CB1DCA"/>
    <w:rsid w:val="00CD502A"/>
    <w:rsid w:val="00CE3911"/>
    <w:rsid w:val="00CE7BAD"/>
    <w:rsid w:val="00CF12CF"/>
    <w:rsid w:val="00CF4BE3"/>
    <w:rsid w:val="00D04783"/>
    <w:rsid w:val="00D0484D"/>
    <w:rsid w:val="00D060D2"/>
    <w:rsid w:val="00D117F8"/>
    <w:rsid w:val="00D139D0"/>
    <w:rsid w:val="00D13E2D"/>
    <w:rsid w:val="00D14394"/>
    <w:rsid w:val="00D15A9A"/>
    <w:rsid w:val="00D242CD"/>
    <w:rsid w:val="00D2481E"/>
    <w:rsid w:val="00D26F74"/>
    <w:rsid w:val="00D341C3"/>
    <w:rsid w:val="00D35B2A"/>
    <w:rsid w:val="00D40763"/>
    <w:rsid w:val="00D41706"/>
    <w:rsid w:val="00D41B4B"/>
    <w:rsid w:val="00D42483"/>
    <w:rsid w:val="00D42843"/>
    <w:rsid w:val="00D46210"/>
    <w:rsid w:val="00D46CA3"/>
    <w:rsid w:val="00D5152A"/>
    <w:rsid w:val="00D560EB"/>
    <w:rsid w:val="00D5652E"/>
    <w:rsid w:val="00D65145"/>
    <w:rsid w:val="00D73D87"/>
    <w:rsid w:val="00D73E5B"/>
    <w:rsid w:val="00D74314"/>
    <w:rsid w:val="00D81410"/>
    <w:rsid w:val="00D86220"/>
    <w:rsid w:val="00D92505"/>
    <w:rsid w:val="00D9695C"/>
    <w:rsid w:val="00DA267C"/>
    <w:rsid w:val="00DA27B3"/>
    <w:rsid w:val="00DA5101"/>
    <w:rsid w:val="00DA79EF"/>
    <w:rsid w:val="00DB0C0B"/>
    <w:rsid w:val="00DB3B74"/>
    <w:rsid w:val="00DC112E"/>
    <w:rsid w:val="00DC40CB"/>
    <w:rsid w:val="00DC5870"/>
    <w:rsid w:val="00DD0384"/>
    <w:rsid w:val="00DD0901"/>
    <w:rsid w:val="00DD4AB0"/>
    <w:rsid w:val="00DE16B6"/>
    <w:rsid w:val="00DE3323"/>
    <w:rsid w:val="00DE36CA"/>
    <w:rsid w:val="00DE51C7"/>
    <w:rsid w:val="00DE7E63"/>
    <w:rsid w:val="00DF57A3"/>
    <w:rsid w:val="00DF77A2"/>
    <w:rsid w:val="00E017BE"/>
    <w:rsid w:val="00E02CEA"/>
    <w:rsid w:val="00E06C85"/>
    <w:rsid w:val="00E13C3C"/>
    <w:rsid w:val="00E15E4E"/>
    <w:rsid w:val="00E367C5"/>
    <w:rsid w:val="00E37E71"/>
    <w:rsid w:val="00E4147C"/>
    <w:rsid w:val="00E42486"/>
    <w:rsid w:val="00E42847"/>
    <w:rsid w:val="00E46064"/>
    <w:rsid w:val="00E466D1"/>
    <w:rsid w:val="00E47CE2"/>
    <w:rsid w:val="00E507B2"/>
    <w:rsid w:val="00E50C58"/>
    <w:rsid w:val="00E51BB4"/>
    <w:rsid w:val="00E53452"/>
    <w:rsid w:val="00E604A1"/>
    <w:rsid w:val="00E659B4"/>
    <w:rsid w:val="00E67D1F"/>
    <w:rsid w:val="00E714D2"/>
    <w:rsid w:val="00E71C31"/>
    <w:rsid w:val="00E7293C"/>
    <w:rsid w:val="00E73AA8"/>
    <w:rsid w:val="00E75E95"/>
    <w:rsid w:val="00E76812"/>
    <w:rsid w:val="00E80228"/>
    <w:rsid w:val="00E86D2A"/>
    <w:rsid w:val="00E8711A"/>
    <w:rsid w:val="00E9281A"/>
    <w:rsid w:val="00E93801"/>
    <w:rsid w:val="00EA2ED4"/>
    <w:rsid w:val="00EA491A"/>
    <w:rsid w:val="00EB1583"/>
    <w:rsid w:val="00EB423F"/>
    <w:rsid w:val="00EB54A9"/>
    <w:rsid w:val="00EB71B5"/>
    <w:rsid w:val="00EC23FB"/>
    <w:rsid w:val="00EC7017"/>
    <w:rsid w:val="00ED4356"/>
    <w:rsid w:val="00ED7681"/>
    <w:rsid w:val="00EE243C"/>
    <w:rsid w:val="00EF34C2"/>
    <w:rsid w:val="00EF3785"/>
    <w:rsid w:val="00EF3F90"/>
    <w:rsid w:val="00EF4E8F"/>
    <w:rsid w:val="00EF63C6"/>
    <w:rsid w:val="00F034FB"/>
    <w:rsid w:val="00F05606"/>
    <w:rsid w:val="00F105F5"/>
    <w:rsid w:val="00F1075A"/>
    <w:rsid w:val="00F14CFC"/>
    <w:rsid w:val="00F1505A"/>
    <w:rsid w:val="00F153FC"/>
    <w:rsid w:val="00F17A61"/>
    <w:rsid w:val="00F2178D"/>
    <w:rsid w:val="00F22E82"/>
    <w:rsid w:val="00F2483A"/>
    <w:rsid w:val="00F24AD4"/>
    <w:rsid w:val="00F337BF"/>
    <w:rsid w:val="00F33D14"/>
    <w:rsid w:val="00F3456A"/>
    <w:rsid w:val="00F40958"/>
    <w:rsid w:val="00F473B6"/>
    <w:rsid w:val="00F503A7"/>
    <w:rsid w:val="00F52E57"/>
    <w:rsid w:val="00F53E06"/>
    <w:rsid w:val="00F54188"/>
    <w:rsid w:val="00F54CC0"/>
    <w:rsid w:val="00F632E6"/>
    <w:rsid w:val="00F7262A"/>
    <w:rsid w:val="00F727A5"/>
    <w:rsid w:val="00F82CAD"/>
    <w:rsid w:val="00F83B8E"/>
    <w:rsid w:val="00F847A9"/>
    <w:rsid w:val="00F873A3"/>
    <w:rsid w:val="00FA5FE9"/>
    <w:rsid w:val="00FA67D2"/>
    <w:rsid w:val="00FB0BFE"/>
    <w:rsid w:val="00FB1990"/>
    <w:rsid w:val="00FB302F"/>
    <w:rsid w:val="00FB5A92"/>
    <w:rsid w:val="00FC18AB"/>
    <w:rsid w:val="00FC1C69"/>
    <w:rsid w:val="00FC29C2"/>
    <w:rsid w:val="00FC3414"/>
    <w:rsid w:val="00FC3739"/>
    <w:rsid w:val="00FD14A4"/>
    <w:rsid w:val="00FE5AD9"/>
    <w:rsid w:val="00FE7A33"/>
    <w:rsid w:val="00FF13CF"/>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E3A318"/>
  <w15:chartTrackingRefBased/>
  <w15:docId w15:val="{20446FF6-C7C4-42DB-9213-8EEC02F8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9CB"/>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qFormat/>
    <w:rsid w:val="00065F18"/>
    <w:pPr>
      <w:spacing w:after="0"/>
    </w:pPr>
    <w:rPr>
      <w:b/>
      <w:color w:val="1F546B" w:themeColor="text2"/>
      <w:sz w:val="36"/>
    </w:rPr>
  </w:style>
  <w:style w:type="paragraph" w:customStyle="1" w:styleId="Documentationpagesubheading">
    <w:name w:val="Documentation page subheading"/>
    <w:basedOn w:val="Documentationpageheading"/>
    <w:qFormat/>
    <w:rsid w:val="00065F18"/>
    <w:rPr>
      <w:sz w:val="28"/>
    </w:rPr>
  </w:style>
  <w:style w:type="paragraph" w:customStyle="1" w:styleId="Documentationpagetable">
    <w:name w:val="Documentation page table"/>
    <w:basedOn w:val="Normal"/>
    <w:qFormat/>
    <w:rsid w:val="00065F18"/>
    <w:pPr>
      <w:spacing w:before="44" w:after="24"/>
    </w:pPr>
    <w:rPr>
      <w:rFonts w:cstheme="minorBidi"/>
      <w:sz w:val="20"/>
    </w:rPr>
  </w:style>
  <w:style w:type="paragraph" w:customStyle="1" w:styleId="Documentationpagetableheading">
    <w:name w:val="Documentation page table heading"/>
    <w:basedOn w:val="Normal"/>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styleId="UnresolvedMention">
    <w:name w:val="Unresolved Mention"/>
    <w:basedOn w:val="DefaultParagraphFont"/>
    <w:uiPriority w:val="99"/>
    <w:semiHidden/>
    <w:unhideWhenUsed/>
    <w:rsid w:val="001418DD"/>
    <w:rPr>
      <w:color w:val="605E5C"/>
      <w:shd w:val="clear" w:color="auto" w:fill="E1DFDD"/>
    </w:rPr>
  </w:style>
  <w:style w:type="paragraph" w:styleId="Revision">
    <w:name w:val="Revision"/>
    <w:hidden/>
    <w:uiPriority w:val="99"/>
    <w:semiHidden/>
    <w:rsid w:val="00BA20FC"/>
    <w:pPr>
      <w:spacing w:before="0" w:after="0"/>
    </w:pPr>
    <w:rPr>
      <w:lang w:eastAsia="en-US"/>
    </w:rPr>
  </w:style>
  <w:style w:type="paragraph" w:styleId="CommentText">
    <w:name w:val="annotation text"/>
    <w:basedOn w:val="Normal"/>
    <w:link w:val="CommentTextChar"/>
    <w:uiPriority w:val="99"/>
    <w:unhideWhenUsed/>
    <w:rsid w:val="0066605F"/>
    <w:rPr>
      <w:sz w:val="20"/>
      <w:szCs w:val="20"/>
    </w:rPr>
  </w:style>
  <w:style w:type="character" w:customStyle="1" w:styleId="CommentTextChar">
    <w:name w:val="Comment Text Char"/>
    <w:basedOn w:val="DefaultParagraphFont"/>
    <w:link w:val="CommentText"/>
    <w:uiPriority w:val="99"/>
    <w:rsid w:val="0066605F"/>
    <w:rPr>
      <w:sz w:val="20"/>
      <w:szCs w:val="20"/>
      <w:lang w:eastAsia="en-US"/>
    </w:rPr>
  </w:style>
  <w:style w:type="paragraph" w:styleId="CommentSubject">
    <w:name w:val="annotation subject"/>
    <w:basedOn w:val="CommentText"/>
    <w:next w:val="CommentText"/>
    <w:link w:val="CommentSubjectChar"/>
    <w:uiPriority w:val="99"/>
    <w:semiHidden/>
    <w:unhideWhenUsed/>
    <w:rsid w:val="0066605F"/>
    <w:rPr>
      <w:b/>
      <w:bCs/>
    </w:rPr>
  </w:style>
  <w:style w:type="character" w:customStyle="1" w:styleId="CommentSubjectChar">
    <w:name w:val="Comment Subject Char"/>
    <w:basedOn w:val="CommentTextChar"/>
    <w:link w:val="CommentSubject"/>
    <w:uiPriority w:val="99"/>
    <w:semiHidden/>
    <w:rsid w:val="0066605F"/>
    <w:rPr>
      <w:b/>
      <w:bCs/>
      <w:sz w:val="20"/>
      <w:szCs w:val="20"/>
      <w:lang w:eastAsia="en-US"/>
    </w:rPr>
  </w:style>
  <w:style w:type="paragraph" w:styleId="NoSpacing">
    <w:name w:val="No Spacing"/>
    <w:basedOn w:val="Normal"/>
    <w:link w:val="NoSpacingChar"/>
    <w:uiPriority w:val="1"/>
    <w:qFormat/>
    <w:rsid w:val="00AB53FA"/>
    <w:pPr>
      <w:keepLines w:val="0"/>
      <w:spacing w:before="0" w:after="0"/>
    </w:pPr>
    <w:rPr>
      <w:rFonts w:asciiTheme="minorHAnsi" w:eastAsiaTheme="minorEastAsia" w:hAnsiTheme="minorHAnsi" w:cstheme="minorBidi"/>
      <w:sz w:val="22"/>
      <w:szCs w:val="22"/>
      <w:lang w:eastAsia="en-NZ"/>
    </w:rPr>
  </w:style>
  <w:style w:type="table" w:customStyle="1" w:styleId="DIATable2">
    <w:name w:val="_DIA Table2"/>
    <w:basedOn w:val="TableNormal"/>
    <w:uiPriority w:val="99"/>
    <w:rsid w:val="00AB53F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customStyle="1" w:styleId="NoSpacingChar">
    <w:name w:val="No Spacing Char"/>
    <w:basedOn w:val="DefaultParagraphFont"/>
    <w:link w:val="NoSpacing"/>
    <w:uiPriority w:val="1"/>
    <w:rsid w:val="00AB53F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25">
      <w:bodyDiv w:val="1"/>
      <w:marLeft w:val="0"/>
      <w:marRight w:val="0"/>
      <w:marTop w:val="0"/>
      <w:marBottom w:val="0"/>
      <w:divBdr>
        <w:top w:val="none" w:sz="0" w:space="0" w:color="auto"/>
        <w:left w:val="none" w:sz="0" w:space="0" w:color="auto"/>
        <w:bottom w:val="none" w:sz="0" w:space="0" w:color="auto"/>
        <w:right w:val="none" w:sz="0" w:space="0" w:color="auto"/>
      </w:divBdr>
    </w:div>
    <w:div w:id="97795879">
      <w:bodyDiv w:val="1"/>
      <w:marLeft w:val="0"/>
      <w:marRight w:val="0"/>
      <w:marTop w:val="0"/>
      <w:marBottom w:val="0"/>
      <w:divBdr>
        <w:top w:val="none" w:sz="0" w:space="0" w:color="auto"/>
        <w:left w:val="none" w:sz="0" w:space="0" w:color="auto"/>
        <w:bottom w:val="none" w:sz="0" w:space="0" w:color="auto"/>
        <w:right w:val="none" w:sz="0" w:space="0" w:color="auto"/>
      </w:divBdr>
    </w:div>
    <w:div w:id="114447036">
      <w:bodyDiv w:val="1"/>
      <w:marLeft w:val="0"/>
      <w:marRight w:val="0"/>
      <w:marTop w:val="0"/>
      <w:marBottom w:val="0"/>
      <w:divBdr>
        <w:top w:val="none" w:sz="0" w:space="0" w:color="auto"/>
        <w:left w:val="none" w:sz="0" w:space="0" w:color="auto"/>
        <w:bottom w:val="none" w:sz="0" w:space="0" w:color="auto"/>
        <w:right w:val="none" w:sz="0" w:space="0" w:color="auto"/>
      </w:divBdr>
    </w:div>
    <w:div w:id="121122100">
      <w:bodyDiv w:val="1"/>
      <w:marLeft w:val="0"/>
      <w:marRight w:val="0"/>
      <w:marTop w:val="0"/>
      <w:marBottom w:val="0"/>
      <w:divBdr>
        <w:top w:val="none" w:sz="0" w:space="0" w:color="auto"/>
        <w:left w:val="none" w:sz="0" w:space="0" w:color="auto"/>
        <w:bottom w:val="none" w:sz="0" w:space="0" w:color="auto"/>
        <w:right w:val="none" w:sz="0" w:space="0" w:color="auto"/>
      </w:divBdr>
    </w:div>
    <w:div w:id="126243785">
      <w:bodyDiv w:val="1"/>
      <w:marLeft w:val="0"/>
      <w:marRight w:val="0"/>
      <w:marTop w:val="0"/>
      <w:marBottom w:val="0"/>
      <w:divBdr>
        <w:top w:val="none" w:sz="0" w:space="0" w:color="auto"/>
        <w:left w:val="none" w:sz="0" w:space="0" w:color="auto"/>
        <w:bottom w:val="none" w:sz="0" w:space="0" w:color="auto"/>
        <w:right w:val="none" w:sz="0" w:space="0" w:color="auto"/>
      </w:divBdr>
    </w:div>
    <w:div w:id="132480266">
      <w:bodyDiv w:val="1"/>
      <w:marLeft w:val="0"/>
      <w:marRight w:val="0"/>
      <w:marTop w:val="0"/>
      <w:marBottom w:val="0"/>
      <w:divBdr>
        <w:top w:val="none" w:sz="0" w:space="0" w:color="auto"/>
        <w:left w:val="none" w:sz="0" w:space="0" w:color="auto"/>
        <w:bottom w:val="none" w:sz="0" w:space="0" w:color="auto"/>
        <w:right w:val="none" w:sz="0" w:space="0" w:color="auto"/>
      </w:divBdr>
    </w:div>
    <w:div w:id="136730614">
      <w:bodyDiv w:val="1"/>
      <w:marLeft w:val="0"/>
      <w:marRight w:val="0"/>
      <w:marTop w:val="0"/>
      <w:marBottom w:val="0"/>
      <w:divBdr>
        <w:top w:val="none" w:sz="0" w:space="0" w:color="auto"/>
        <w:left w:val="none" w:sz="0" w:space="0" w:color="auto"/>
        <w:bottom w:val="none" w:sz="0" w:space="0" w:color="auto"/>
        <w:right w:val="none" w:sz="0" w:space="0" w:color="auto"/>
      </w:divBdr>
    </w:div>
    <w:div w:id="138303022">
      <w:bodyDiv w:val="1"/>
      <w:marLeft w:val="0"/>
      <w:marRight w:val="0"/>
      <w:marTop w:val="0"/>
      <w:marBottom w:val="0"/>
      <w:divBdr>
        <w:top w:val="none" w:sz="0" w:space="0" w:color="auto"/>
        <w:left w:val="none" w:sz="0" w:space="0" w:color="auto"/>
        <w:bottom w:val="none" w:sz="0" w:space="0" w:color="auto"/>
        <w:right w:val="none" w:sz="0" w:space="0" w:color="auto"/>
      </w:divBdr>
    </w:div>
    <w:div w:id="155150190">
      <w:bodyDiv w:val="1"/>
      <w:marLeft w:val="0"/>
      <w:marRight w:val="0"/>
      <w:marTop w:val="0"/>
      <w:marBottom w:val="0"/>
      <w:divBdr>
        <w:top w:val="none" w:sz="0" w:space="0" w:color="auto"/>
        <w:left w:val="none" w:sz="0" w:space="0" w:color="auto"/>
        <w:bottom w:val="none" w:sz="0" w:space="0" w:color="auto"/>
        <w:right w:val="none" w:sz="0" w:space="0" w:color="auto"/>
      </w:divBdr>
    </w:div>
    <w:div w:id="162551861">
      <w:bodyDiv w:val="1"/>
      <w:marLeft w:val="0"/>
      <w:marRight w:val="0"/>
      <w:marTop w:val="0"/>
      <w:marBottom w:val="0"/>
      <w:divBdr>
        <w:top w:val="none" w:sz="0" w:space="0" w:color="auto"/>
        <w:left w:val="none" w:sz="0" w:space="0" w:color="auto"/>
        <w:bottom w:val="none" w:sz="0" w:space="0" w:color="auto"/>
        <w:right w:val="none" w:sz="0" w:space="0" w:color="auto"/>
      </w:divBdr>
    </w:div>
    <w:div w:id="166287673">
      <w:bodyDiv w:val="1"/>
      <w:marLeft w:val="0"/>
      <w:marRight w:val="0"/>
      <w:marTop w:val="0"/>
      <w:marBottom w:val="0"/>
      <w:divBdr>
        <w:top w:val="none" w:sz="0" w:space="0" w:color="auto"/>
        <w:left w:val="none" w:sz="0" w:space="0" w:color="auto"/>
        <w:bottom w:val="none" w:sz="0" w:space="0" w:color="auto"/>
        <w:right w:val="none" w:sz="0" w:space="0" w:color="auto"/>
      </w:divBdr>
    </w:div>
    <w:div w:id="203828778">
      <w:bodyDiv w:val="1"/>
      <w:marLeft w:val="0"/>
      <w:marRight w:val="0"/>
      <w:marTop w:val="0"/>
      <w:marBottom w:val="0"/>
      <w:divBdr>
        <w:top w:val="none" w:sz="0" w:space="0" w:color="auto"/>
        <w:left w:val="none" w:sz="0" w:space="0" w:color="auto"/>
        <w:bottom w:val="none" w:sz="0" w:space="0" w:color="auto"/>
        <w:right w:val="none" w:sz="0" w:space="0" w:color="auto"/>
      </w:divBdr>
    </w:div>
    <w:div w:id="210651194">
      <w:bodyDiv w:val="1"/>
      <w:marLeft w:val="0"/>
      <w:marRight w:val="0"/>
      <w:marTop w:val="0"/>
      <w:marBottom w:val="0"/>
      <w:divBdr>
        <w:top w:val="none" w:sz="0" w:space="0" w:color="auto"/>
        <w:left w:val="none" w:sz="0" w:space="0" w:color="auto"/>
        <w:bottom w:val="none" w:sz="0" w:space="0" w:color="auto"/>
        <w:right w:val="none" w:sz="0" w:space="0" w:color="auto"/>
      </w:divBdr>
    </w:div>
    <w:div w:id="253173035">
      <w:bodyDiv w:val="1"/>
      <w:marLeft w:val="0"/>
      <w:marRight w:val="0"/>
      <w:marTop w:val="0"/>
      <w:marBottom w:val="0"/>
      <w:divBdr>
        <w:top w:val="none" w:sz="0" w:space="0" w:color="auto"/>
        <w:left w:val="none" w:sz="0" w:space="0" w:color="auto"/>
        <w:bottom w:val="none" w:sz="0" w:space="0" w:color="auto"/>
        <w:right w:val="none" w:sz="0" w:space="0" w:color="auto"/>
      </w:divBdr>
    </w:div>
    <w:div w:id="291641005">
      <w:bodyDiv w:val="1"/>
      <w:marLeft w:val="0"/>
      <w:marRight w:val="0"/>
      <w:marTop w:val="0"/>
      <w:marBottom w:val="0"/>
      <w:divBdr>
        <w:top w:val="none" w:sz="0" w:space="0" w:color="auto"/>
        <w:left w:val="none" w:sz="0" w:space="0" w:color="auto"/>
        <w:bottom w:val="none" w:sz="0" w:space="0" w:color="auto"/>
        <w:right w:val="none" w:sz="0" w:space="0" w:color="auto"/>
      </w:divBdr>
    </w:div>
    <w:div w:id="358045937">
      <w:bodyDiv w:val="1"/>
      <w:marLeft w:val="0"/>
      <w:marRight w:val="0"/>
      <w:marTop w:val="0"/>
      <w:marBottom w:val="0"/>
      <w:divBdr>
        <w:top w:val="none" w:sz="0" w:space="0" w:color="auto"/>
        <w:left w:val="none" w:sz="0" w:space="0" w:color="auto"/>
        <w:bottom w:val="none" w:sz="0" w:space="0" w:color="auto"/>
        <w:right w:val="none" w:sz="0" w:space="0" w:color="auto"/>
      </w:divBdr>
    </w:div>
    <w:div w:id="371266024">
      <w:bodyDiv w:val="1"/>
      <w:marLeft w:val="0"/>
      <w:marRight w:val="0"/>
      <w:marTop w:val="0"/>
      <w:marBottom w:val="0"/>
      <w:divBdr>
        <w:top w:val="none" w:sz="0" w:space="0" w:color="auto"/>
        <w:left w:val="none" w:sz="0" w:space="0" w:color="auto"/>
        <w:bottom w:val="none" w:sz="0" w:space="0" w:color="auto"/>
        <w:right w:val="none" w:sz="0" w:space="0" w:color="auto"/>
      </w:divBdr>
    </w:div>
    <w:div w:id="371922210">
      <w:bodyDiv w:val="1"/>
      <w:marLeft w:val="0"/>
      <w:marRight w:val="0"/>
      <w:marTop w:val="0"/>
      <w:marBottom w:val="0"/>
      <w:divBdr>
        <w:top w:val="none" w:sz="0" w:space="0" w:color="auto"/>
        <w:left w:val="none" w:sz="0" w:space="0" w:color="auto"/>
        <w:bottom w:val="none" w:sz="0" w:space="0" w:color="auto"/>
        <w:right w:val="none" w:sz="0" w:space="0" w:color="auto"/>
      </w:divBdr>
    </w:div>
    <w:div w:id="396980589">
      <w:bodyDiv w:val="1"/>
      <w:marLeft w:val="0"/>
      <w:marRight w:val="0"/>
      <w:marTop w:val="0"/>
      <w:marBottom w:val="0"/>
      <w:divBdr>
        <w:top w:val="none" w:sz="0" w:space="0" w:color="auto"/>
        <w:left w:val="none" w:sz="0" w:space="0" w:color="auto"/>
        <w:bottom w:val="none" w:sz="0" w:space="0" w:color="auto"/>
        <w:right w:val="none" w:sz="0" w:space="0" w:color="auto"/>
      </w:divBdr>
    </w:div>
    <w:div w:id="424422585">
      <w:bodyDiv w:val="1"/>
      <w:marLeft w:val="0"/>
      <w:marRight w:val="0"/>
      <w:marTop w:val="0"/>
      <w:marBottom w:val="0"/>
      <w:divBdr>
        <w:top w:val="none" w:sz="0" w:space="0" w:color="auto"/>
        <w:left w:val="none" w:sz="0" w:space="0" w:color="auto"/>
        <w:bottom w:val="none" w:sz="0" w:space="0" w:color="auto"/>
        <w:right w:val="none" w:sz="0" w:space="0" w:color="auto"/>
      </w:divBdr>
    </w:div>
    <w:div w:id="437915064">
      <w:bodyDiv w:val="1"/>
      <w:marLeft w:val="0"/>
      <w:marRight w:val="0"/>
      <w:marTop w:val="0"/>
      <w:marBottom w:val="0"/>
      <w:divBdr>
        <w:top w:val="none" w:sz="0" w:space="0" w:color="auto"/>
        <w:left w:val="none" w:sz="0" w:space="0" w:color="auto"/>
        <w:bottom w:val="none" w:sz="0" w:space="0" w:color="auto"/>
        <w:right w:val="none" w:sz="0" w:space="0" w:color="auto"/>
      </w:divBdr>
    </w:div>
    <w:div w:id="452481292">
      <w:bodyDiv w:val="1"/>
      <w:marLeft w:val="0"/>
      <w:marRight w:val="0"/>
      <w:marTop w:val="0"/>
      <w:marBottom w:val="0"/>
      <w:divBdr>
        <w:top w:val="none" w:sz="0" w:space="0" w:color="auto"/>
        <w:left w:val="none" w:sz="0" w:space="0" w:color="auto"/>
        <w:bottom w:val="none" w:sz="0" w:space="0" w:color="auto"/>
        <w:right w:val="none" w:sz="0" w:space="0" w:color="auto"/>
      </w:divBdr>
    </w:div>
    <w:div w:id="548104059">
      <w:bodyDiv w:val="1"/>
      <w:marLeft w:val="0"/>
      <w:marRight w:val="0"/>
      <w:marTop w:val="0"/>
      <w:marBottom w:val="0"/>
      <w:divBdr>
        <w:top w:val="none" w:sz="0" w:space="0" w:color="auto"/>
        <w:left w:val="none" w:sz="0" w:space="0" w:color="auto"/>
        <w:bottom w:val="none" w:sz="0" w:space="0" w:color="auto"/>
        <w:right w:val="none" w:sz="0" w:space="0" w:color="auto"/>
      </w:divBdr>
    </w:div>
    <w:div w:id="601693971">
      <w:bodyDiv w:val="1"/>
      <w:marLeft w:val="0"/>
      <w:marRight w:val="0"/>
      <w:marTop w:val="0"/>
      <w:marBottom w:val="0"/>
      <w:divBdr>
        <w:top w:val="none" w:sz="0" w:space="0" w:color="auto"/>
        <w:left w:val="none" w:sz="0" w:space="0" w:color="auto"/>
        <w:bottom w:val="none" w:sz="0" w:space="0" w:color="auto"/>
        <w:right w:val="none" w:sz="0" w:space="0" w:color="auto"/>
      </w:divBdr>
    </w:div>
    <w:div w:id="612592618">
      <w:bodyDiv w:val="1"/>
      <w:marLeft w:val="0"/>
      <w:marRight w:val="0"/>
      <w:marTop w:val="0"/>
      <w:marBottom w:val="0"/>
      <w:divBdr>
        <w:top w:val="none" w:sz="0" w:space="0" w:color="auto"/>
        <w:left w:val="none" w:sz="0" w:space="0" w:color="auto"/>
        <w:bottom w:val="none" w:sz="0" w:space="0" w:color="auto"/>
        <w:right w:val="none" w:sz="0" w:space="0" w:color="auto"/>
      </w:divBdr>
    </w:div>
    <w:div w:id="633174296">
      <w:bodyDiv w:val="1"/>
      <w:marLeft w:val="0"/>
      <w:marRight w:val="0"/>
      <w:marTop w:val="0"/>
      <w:marBottom w:val="0"/>
      <w:divBdr>
        <w:top w:val="none" w:sz="0" w:space="0" w:color="auto"/>
        <w:left w:val="none" w:sz="0" w:space="0" w:color="auto"/>
        <w:bottom w:val="none" w:sz="0" w:space="0" w:color="auto"/>
        <w:right w:val="none" w:sz="0" w:space="0" w:color="auto"/>
      </w:divBdr>
    </w:div>
    <w:div w:id="640042933">
      <w:bodyDiv w:val="1"/>
      <w:marLeft w:val="0"/>
      <w:marRight w:val="0"/>
      <w:marTop w:val="0"/>
      <w:marBottom w:val="0"/>
      <w:divBdr>
        <w:top w:val="none" w:sz="0" w:space="0" w:color="auto"/>
        <w:left w:val="none" w:sz="0" w:space="0" w:color="auto"/>
        <w:bottom w:val="none" w:sz="0" w:space="0" w:color="auto"/>
        <w:right w:val="none" w:sz="0" w:space="0" w:color="auto"/>
      </w:divBdr>
    </w:div>
    <w:div w:id="650057480">
      <w:bodyDiv w:val="1"/>
      <w:marLeft w:val="0"/>
      <w:marRight w:val="0"/>
      <w:marTop w:val="0"/>
      <w:marBottom w:val="0"/>
      <w:divBdr>
        <w:top w:val="none" w:sz="0" w:space="0" w:color="auto"/>
        <w:left w:val="none" w:sz="0" w:space="0" w:color="auto"/>
        <w:bottom w:val="none" w:sz="0" w:space="0" w:color="auto"/>
        <w:right w:val="none" w:sz="0" w:space="0" w:color="auto"/>
      </w:divBdr>
    </w:div>
    <w:div w:id="655884438">
      <w:bodyDiv w:val="1"/>
      <w:marLeft w:val="0"/>
      <w:marRight w:val="0"/>
      <w:marTop w:val="0"/>
      <w:marBottom w:val="0"/>
      <w:divBdr>
        <w:top w:val="none" w:sz="0" w:space="0" w:color="auto"/>
        <w:left w:val="none" w:sz="0" w:space="0" w:color="auto"/>
        <w:bottom w:val="none" w:sz="0" w:space="0" w:color="auto"/>
        <w:right w:val="none" w:sz="0" w:space="0" w:color="auto"/>
      </w:divBdr>
    </w:div>
    <w:div w:id="660542302">
      <w:bodyDiv w:val="1"/>
      <w:marLeft w:val="0"/>
      <w:marRight w:val="0"/>
      <w:marTop w:val="0"/>
      <w:marBottom w:val="0"/>
      <w:divBdr>
        <w:top w:val="none" w:sz="0" w:space="0" w:color="auto"/>
        <w:left w:val="none" w:sz="0" w:space="0" w:color="auto"/>
        <w:bottom w:val="none" w:sz="0" w:space="0" w:color="auto"/>
        <w:right w:val="none" w:sz="0" w:space="0" w:color="auto"/>
      </w:divBdr>
    </w:div>
    <w:div w:id="684794490">
      <w:bodyDiv w:val="1"/>
      <w:marLeft w:val="0"/>
      <w:marRight w:val="0"/>
      <w:marTop w:val="0"/>
      <w:marBottom w:val="0"/>
      <w:divBdr>
        <w:top w:val="none" w:sz="0" w:space="0" w:color="auto"/>
        <w:left w:val="none" w:sz="0" w:space="0" w:color="auto"/>
        <w:bottom w:val="none" w:sz="0" w:space="0" w:color="auto"/>
        <w:right w:val="none" w:sz="0" w:space="0" w:color="auto"/>
      </w:divBdr>
    </w:div>
    <w:div w:id="689452428">
      <w:bodyDiv w:val="1"/>
      <w:marLeft w:val="0"/>
      <w:marRight w:val="0"/>
      <w:marTop w:val="0"/>
      <w:marBottom w:val="0"/>
      <w:divBdr>
        <w:top w:val="none" w:sz="0" w:space="0" w:color="auto"/>
        <w:left w:val="none" w:sz="0" w:space="0" w:color="auto"/>
        <w:bottom w:val="none" w:sz="0" w:space="0" w:color="auto"/>
        <w:right w:val="none" w:sz="0" w:space="0" w:color="auto"/>
      </w:divBdr>
    </w:div>
    <w:div w:id="747534213">
      <w:bodyDiv w:val="1"/>
      <w:marLeft w:val="0"/>
      <w:marRight w:val="0"/>
      <w:marTop w:val="0"/>
      <w:marBottom w:val="0"/>
      <w:divBdr>
        <w:top w:val="none" w:sz="0" w:space="0" w:color="auto"/>
        <w:left w:val="none" w:sz="0" w:space="0" w:color="auto"/>
        <w:bottom w:val="none" w:sz="0" w:space="0" w:color="auto"/>
        <w:right w:val="none" w:sz="0" w:space="0" w:color="auto"/>
      </w:divBdr>
    </w:div>
    <w:div w:id="772407994">
      <w:bodyDiv w:val="1"/>
      <w:marLeft w:val="0"/>
      <w:marRight w:val="0"/>
      <w:marTop w:val="0"/>
      <w:marBottom w:val="0"/>
      <w:divBdr>
        <w:top w:val="none" w:sz="0" w:space="0" w:color="auto"/>
        <w:left w:val="none" w:sz="0" w:space="0" w:color="auto"/>
        <w:bottom w:val="none" w:sz="0" w:space="0" w:color="auto"/>
        <w:right w:val="none" w:sz="0" w:space="0" w:color="auto"/>
      </w:divBdr>
    </w:div>
    <w:div w:id="795635615">
      <w:bodyDiv w:val="1"/>
      <w:marLeft w:val="0"/>
      <w:marRight w:val="0"/>
      <w:marTop w:val="0"/>
      <w:marBottom w:val="0"/>
      <w:divBdr>
        <w:top w:val="none" w:sz="0" w:space="0" w:color="auto"/>
        <w:left w:val="none" w:sz="0" w:space="0" w:color="auto"/>
        <w:bottom w:val="none" w:sz="0" w:space="0" w:color="auto"/>
        <w:right w:val="none" w:sz="0" w:space="0" w:color="auto"/>
      </w:divBdr>
    </w:div>
    <w:div w:id="811017169">
      <w:bodyDiv w:val="1"/>
      <w:marLeft w:val="0"/>
      <w:marRight w:val="0"/>
      <w:marTop w:val="0"/>
      <w:marBottom w:val="0"/>
      <w:divBdr>
        <w:top w:val="none" w:sz="0" w:space="0" w:color="auto"/>
        <w:left w:val="none" w:sz="0" w:space="0" w:color="auto"/>
        <w:bottom w:val="none" w:sz="0" w:space="0" w:color="auto"/>
        <w:right w:val="none" w:sz="0" w:space="0" w:color="auto"/>
      </w:divBdr>
    </w:div>
    <w:div w:id="816264954">
      <w:bodyDiv w:val="1"/>
      <w:marLeft w:val="0"/>
      <w:marRight w:val="0"/>
      <w:marTop w:val="0"/>
      <w:marBottom w:val="0"/>
      <w:divBdr>
        <w:top w:val="none" w:sz="0" w:space="0" w:color="auto"/>
        <w:left w:val="none" w:sz="0" w:space="0" w:color="auto"/>
        <w:bottom w:val="none" w:sz="0" w:space="0" w:color="auto"/>
        <w:right w:val="none" w:sz="0" w:space="0" w:color="auto"/>
      </w:divBdr>
    </w:div>
    <w:div w:id="828132326">
      <w:bodyDiv w:val="1"/>
      <w:marLeft w:val="0"/>
      <w:marRight w:val="0"/>
      <w:marTop w:val="0"/>
      <w:marBottom w:val="0"/>
      <w:divBdr>
        <w:top w:val="none" w:sz="0" w:space="0" w:color="auto"/>
        <w:left w:val="none" w:sz="0" w:space="0" w:color="auto"/>
        <w:bottom w:val="none" w:sz="0" w:space="0" w:color="auto"/>
        <w:right w:val="none" w:sz="0" w:space="0" w:color="auto"/>
      </w:divBdr>
    </w:div>
    <w:div w:id="831794139">
      <w:bodyDiv w:val="1"/>
      <w:marLeft w:val="0"/>
      <w:marRight w:val="0"/>
      <w:marTop w:val="0"/>
      <w:marBottom w:val="0"/>
      <w:divBdr>
        <w:top w:val="none" w:sz="0" w:space="0" w:color="auto"/>
        <w:left w:val="none" w:sz="0" w:space="0" w:color="auto"/>
        <w:bottom w:val="none" w:sz="0" w:space="0" w:color="auto"/>
        <w:right w:val="none" w:sz="0" w:space="0" w:color="auto"/>
      </w:divBdr>
    </w:div>
    <w:div w:id="863982505">
      <w:bodyDiv w:val="1"/>
      <w:marLeft w:val="0"/>
      <w:marRight w:val="0"/>
      <w:marTop w:val="0"/>
      <w:marBottom w:val="0"/>
      <w:divBdr>
        <w:top w:val="none" w:sz="0" w:space="0" w:color="auto"/>
        <w:left w:val="none" w:sz="0" w:space="0" w:color="auto"/>
        <w:bottom w:val="none" w:sz="0" w:space="0" w:color="auto"/>
        <w:right w:val="none" w:sz="0" w:space="0" w:color="auto"/>
      </w:divBdr>
    </w:div>
    <w:div w:id="864975926">
      <w:bodyDiv w:val="1"/>
      <w:marLeft w:val="0"/>
      <w:marRight w:val="0"/>
      <w:marTop w:val="0"/>
      <w:marBottom w:val="0"/>
      <w:divBdr>
        <w:top w:val="none" w:sz="0" w:space="0" w:color="auto"/>
        <w:left w:val="none" w:sz="0" w:space="0" w:color="auto"/>
        <w:bottom w:val="none" w:sz="0" w:space="0" w:color="auto"/>
        <w:right w:val="none" w:sz="0" w:space="0" w:color="auto"/>
      </w:divBdr>
    </w:div>
    <w:div w:id="893657597">
      <w:bodyDiv w:val="1"/>
      <w:marLeft w:val="0"/>
      <w:marRight w:val="0"/>
      <w:marTop w:val="0"/>
      <w:marBottom w:val="0"/>
      <w:divBdr>
        <w:top w:val="none" w:sz="0" w:space="0" w:color="auto"/>
        <w:left w:val="none" w:sz="0" w:space="0" w:color="auto"/>
        <w:bottom w:val="none" w:sz="0" w:space="0" w:color="auto"/>
        <w:right w:val="none" w:sz="0" w:space="0" w:color="auto"/>
      </w:divBdr>
    </w:div>
    <w:div w:id="901521975">
      <w:bodyDiv w:val="1"/>
      <w:marLeft w:val="0"/>
      <w:marRight w:val="0"/>
      <w:marTop w:val="0"/>
      <w:marBottom w:val="0"/>
      <w:divBdr>
        <w:top w:val="none" w:sz="0" w:space="0" w:color="auto"/>
        <w:left w:val="none" w:sz="0" w:space="0" w:color="auto"/>
        <w:bottom w:val="none" w:sz="0" w:space="0" w:color="auto"/>
        <w:right w:val="none" w:sz="0" w:space="0" w:color="auto"/>
      </w:divBdr>
    </w:div>
    <w:div w:id="986251626">
      <w:bodyDiv w:val="1"/>
      <w:marLeft w:val="0"/>
      <w:marRight w:val="0"/>
      <w:marTop w:val="0"/>
      <w:marBottom w:val="0"/>
      <w:divBdr>
        <w:top w:val="none" w:sz="0" w:space="0" w:color="auto"/>
        <w:left w:val="none" w:sz="0" w:space="0" w:color="auto"/>
        <w:bottom w:val="none" w:sz="0" w:space="0" w:color="auto"/>
        <w:right w:val="none" w:sz="0" w:space="0" w:color="auto"/>
      </w:divBdr>
    </w:div>
    <w:div w:id="988171753">
      <w:bodyDiv w:val="1"/>
      <w:marLeft w:val="0"/>
      <w:marRight w:val="0"/>
      <w:marTop w:val="0"/>
      <w:marBottom w:val="0"/>
      <w:divBdr>
        <w:top w:val="none" w:sz="0" w:space="0" w:color="auto"/>
        <w:left w:val="none" w:sz="0" w:space="0" w:color="auto"/>
        <w:bottom w:val="none" w:sz="0" w:space="0" w:color="auto"/>
        <w:right w:val="none" w:sz="0" w:space="0" w:color="auto"/>
      </w:divBdr>
    </w:div>
    <w:div w:id="1056584335">
      <w:bodyDiv w:val="1"/>
      <w:marLeft w:val="0"/>
      <w:marRight w:val="0"/>
      <w:marTop w:val="0"/>
      <w:marBottom w:val="0"/>
      <w:divBdr>
        <w:top w:val="none" w:sz="0" w:space="0" w:color="auto"/>
        <w:left w:val="none" w:sz="0" w:space="0" w:color="auto"/>
        <w:bottom w:val="none" w:sz="0" w:space="0" w:color="auto"/>
        <w:right w:val="none" w:sz="0" w:space="0" w:color="auto"/>
      </w:divBdr>
    </w:div>
    <w:div w:id="1058670414">
      <w:bodyDiv w:val="1"/>
      <w:marLeft w:val="0"/>
      <w:marRight w:val="0"/>
      <w:marTop w:val="0"/>
      <w:marBottom w:val="0"/>
      <w:divBdr>
        <w:top w:val="none" w:sz="0" w:space="0" w:color="auto"/>
        <w:left w:val="none" w:sz="0" w:space="0" w:color="auto"/>
        <w:bottom w:val="none" w:sz="0" w:space="0" w:color="auto"/>
        <w:right w:val="none" w:sz="0" w:space="0" w:color="auto"/>
      </w:divBdr>
    </w:div>
    <w:div w:id="1085491973">
      <w:bodyDiv w:val="1"/>
      <w:marLeft w:val="0"/>
      <w:marRight w:val="0"/>
      <w:marTop w:val="0"/>
      <w:marBottom w:val="0"/>
      <w:divBdr>
        <w:top w:val="none" w:sz="0" w:space="0" w:color="auto"/>
        <w:left w:val="none" w:sz="0" w:space="0" w:color="auto"/>
        <w:bottom w:val="none" w:sz="0" w:space="0" w:color="auto"/>
        <w:right w:val="none" w:sz="0" w:space="0" w:color="auto"/>
      </w:divBdr>
    </w:div>
    <w:div w:id="1105464068">
      <w:bodyDiv w:val="1"/>
      <w:marLeft w:val="0"/>
      <w:marRight w:val="0"/>
      <w:marTop w:val="0"/>
      <w:marBottom w:val="0"/>
      <w:divBdr>
        <w:top w:val="none" w:sz="0" w:space="0" w:color="auto"/>
        <w:left w:val="none" w:sz="0" w:space="0" w:color="auto"/>
        <w:bottom w:val="none" w:sz="0" w:space="0" w:color="auto"/>
        <w:right w:val="none" w:sz="0" w:space="0" w:color="auto"/>
      </w:divBdr>
    </w:div>
    <w:div w:id="1131749527">
      <w:bodyDiv w:val="1"/>
      <w:marLeft w:val="0"/>
      <w:marRight w:val="0"/>
      <w:marTop w:val="0"/>
      <w:marBottom w:val="0"/>
      <w:divBdr>
        <w:top w:val="none" w:sz="0" w:space="0" w:color="auto"/>
        <w:left w:val="none" w:sz="0" w:space="0" w:color="auto"/>
        <w:bottom w:val="none" w:sz="0" w:space="0" w:color="auto"/>
        <w:right w:val="none" w:sz="0" w:space="0" w:color="auto"/>
      </w:divBdr>
    </w:div>
    <w:div w:id="1170869363">
      <w:bodyDiv w:val="1"/>
      <w:marLeft w:val="0"/>
      <w:marRight w:val="0"/>
      <w:marTop w:val="0"/>
      <w:marBottom w:val="0"/>
      <w:divBdr>
        <w:top w:val="none" w:sz="0" w:space="0" w:color="auto"/>
        <w:left w:val="none" w:sz="0" w:space="0" w:color="auto"/>
        <w:bottom w:val="none" w:sz="0" w:space="0" w:color="auto"/>
        <w:right w:val="none" w:sz="0" w:space="0" w:color="auto"/>
      </w:divBdr>
    </w:div>
    <w:div w:id="1239748798">
      <w:bodyDiv w:val="1"/>
      <w:marLeft w:val="0"/>
      <w:marRight w:val="0"/>
      <w:marTop w:val="0"/>
      <w:marBottom w:val="0"/>
      <w:divBdr>
        <w:top w:val="none" w:sz="0" w:space="0" w:color="auto"/>
        <w:left w:val="none" w:sz="0" w:space="0" w:color="auto"/>
        <w:bottom w:val="none" w:sz="0" w:space="0" w:color="auto"/>
        <w:right w:val="none" w:sz="0" w:space="0" w:color="auto"/>
      </w:divBdr>
    </w:div>
    <w:div w:id="1264411417">
      <w:bodyDiv w:val="1"/>
      <w:marLeft w:val="0"/>
      <w:marRight w:val="0"/>
      <w:marTop w:val="0"/>
      <w:marBottom w:val="0"/>
      <w:divBdr>
        <w:top w:val="none" w:sz="0" w:space="0" w:color="auto"/>
        <w:left w:val="none" w:sz="0" w:space="0" w:color="auto"/>
        <w:bottom w:val="none" w:sz="0" w:space="0" w:color="auto"/>
        <w:right w:val="none" w:sz="0" w:space="0" w:color="auto"/>
      </w:divBdr>
    </w:div>
    <w:div w:id="1279948071">
      <w:bodyDiv w:val="1"/>
      <w:marLeft w:val="0"/>
      <w:marRight w:val="0"/>
      <w:marTop w:val="0"/>
      <w:marBottom w:val="0"/>
      <w:divBdr>
        <w:top w:val="none" w:sz="0" w:space="0" w:color="auto"/>
        <w:left w:val="none" w:sz="0" w:space="0" w:color="auto"/>
        <w:bottom w:val="none" w:sz="0" w:space="0" w:color="auto"/>
        <w:right w:val="none" w:sz="0" w:space="0" w:color="auto"/>
      </w:divBdr>
    </w:div>
    <w:div w:id="1311711158">
      <w:bodyDiv w:val="1"/>
      <w:marLeft w:val="0"/>
      <w:marRight w:val="0"/>
      <w:marTop w:val="0"/>
      <w:marBottom w:val="0"/>
      <w:divBdr>
        <w:top w:val="none" w:sz="0" w:space="0" w:color="auto"/>
        <w:left w:val="none" w:sz="0" w:space="0" w:color="auto"/>
        <w:bottom w:val="none" w:sz="0" w:space="0" w:color="auto"/>
        <w:right w:val="none" w:sz="0" w:space="0" w:color="auto"/>
      </w:divBdr>
    </w:div>
    <w:div w:id="1321620934">
      <w:bodyDiv w:val="1"/>
      <w:marLeft w:val="0"/>
      <w:marRight w:val="0"/>
      <w:marTop w:val="0"/>
      <w:marBottom w:val="0"/>
      <w:divBdr>
        <w:top w:val="none" w:sz="0" w:space="0" w:color="auto"/>
        <w:left w:val="none" w:sz="0" w:space="0" w:color="auto"/>
        <w:bottom w:val="none" w:sz="0" w:space="0" w:color="auto"/>
        <w:right w:val="none" w:sz="0" w:space="0" w:color="auto"/>
      </w:divBdr>
    </w:div>
    <w:div w:id="1335302049">
      <w:bodyDiv w:val="1"/>
      <w:marLeft w:val="0"/>
      <w:marRight w:val="0"/>
      <w:marTop w:val="0"/>
      <w:marBottom w:val="0"/>
      <w:divBdr>
        <w:top w:val="none" w:sz="0" w:space="0" w:color="auto"/>
        <w:left w:val="none" w:sz="0" w:space="0" w:color="auto"/>
        <w:bottom w:val="none" w:sz="0" w:space="0" w:color="auto"/>
        <w:right w:val="none" w:sz="0" w:space="0" w:color="auto"/>
      </w:divBdr>
    </w:div>
    <w:div w:id="1344941547">
      <w:bodyDiv w:val="1"/>
      <w:marLeft w:val="0"/>
      <w:marRight w:val="0"/>
      <w:marTop w:val="0"/>
      <w:marBottom w:val="0"/>
      <w:divBdr>
        <w:top w:val="none" w:sz="0" w:space="0" w:color="auto"/>
        <w:left w:val="none" w:sz="0" w:space="0" w:color="auto"/>
        <w:bottom w:val="none" w:sz="0" w:space="0" w:color="auto"/>
        <w:right w:val="none" w:sz="0" w:space="0" w:color="auto"/>
      </w:divBdr>
    </w:div>
    <w:div w:id="1359086412">
      <w:bodyDiv w:val="1"/>
      <w:marLeft w:val="0"/>
      <w:marRight w:val="0"/>
      <w:marTop w:val="0"/>
      <w:marBottom w:val="0"/>
      <w:divBdr>
        <w:top w:val="none" w:sz="0" w:space="0" w:color="auto"/>
        <w:left w:val="none" w:sz="0" w:space="0" w:color="auto"/>
        <w:bottom w:val="none" w:sz="0" w:space="0" w:color="auto"/>
        <w:right w:val="none" w:sz="0" w:space="0" w:color="auto"/>
      </w:divBdr>
    </w:div>
    <w:div w:id="1400329016">
      <w:bodyDiv w:val="1"/>
      <w:marLeft w:val="0"/>
      <w:marRight w:val="0"/>
      <w:marTop w:val="0"/>
      <w:marBottom w:val="0"/>
      <w:divBdr>
        <w:top w:val="none" w:sz="0" w:space="0" w:color="auto"/>
        <w:left w:val="none" w:sz="0" w:space="0" w:color="auto"/>
        <w:bottom w:val="none" w:sz="0" w:space="0" w:color="auto"/>
        <w:right w:val="none" w:sz="0" w:space="0" w:color="auto"/>
      </w:divBdr>
    </w:div>
    <w:div w:id="1407148812">
      <w:bodyDiv w:val="1"/>
      <w:marLeft w:val="0"/>
      <w:marRight w:val="0"/>
      <w:marTop w:val="0"/>
      <w:marBottom w:val="0"/>
      <w:divBdr>
        <w:top w:val="none" w:sz="0" w:space="0" w:color="auto"/>
        <w:left w:val="none" w:sz="0" w:space="0" w:color="auto"/>
        <w:bottom w:val="none" w:sz="0" w:space="0" w:color="auto"/>
        <w:right w:val="none" w:sz="0" w:space="0" w:color="auto"/>
      </w:divBdr>
    </w:div>
    <w:div w:id="1449548665">
      <w:bodyDiv w:val="1"/>
      <w:marLeft w:val="0"/>
      <w:marRight w:val="0"/>
      <w:marTop w:val="0"/>
      <w:marBottom w:val="0"/>
      <w:divBdr>
        <w:top w:val="none" w:sz="0" w:space="0" w:color="auto"/>
        <w:left w:val="none" w:sz="0" w:space="0" w:color="auto"/>
        <w:bottom w:val="none" w:sz="0" w:space="0" w:color="auto"/>
        <w:right w:val="none" w:sz="0" w:space="0" w:color="auto"/>
      </w:divBdr>
    </w:div>
    <w:div w:id="1472401166">
      <w:bodyDiv w:val="1"/>
      <w:marLeft w:val="0"/>
      <w:marRight w:val="0"/>
      <w:marTop w:val="0"/>
      <w:marBottom w:val="0"/>
      <w:divBdr>
        <w:top w:val="none" w:sz="0" w:space="0" w:color="auto"/>
        <w:left w:val="none" w:sz="0" w:space="0" w:color="auto"/>
        <w:bottom w:val="none" w:sz="0" w:space="0" w:color="auto"/>
        <w:right w:val="none" w:sz="0" w:space="0" w:color="auto"/>
      </w:divBdr>
    </w:div>
    <w:div w:id="1516572910">
      <w:bodyDiv w:val="1"/>
      <w:marLeft w:val="0"/>
      <w:marRight w:val="0"/>
      <w:marTop w:val="0"/>
      <w:marBottom w:val="0"/>
      <w:divBdr>
        <w:top w:val="none" w:sz="0" w:space="0" w:color="auto"/>
        <w:left w:val="none" w:sz="0" w:space="0" w:color="auto"/>
        <w:bottom w:val="none" w:sz="0" w:space="0" w:color="auto"/>
        <w:right w:val="none" w:sz="0" w:space="0" w:color="auto"/>
      </w:divBdr>
    </w:div>
    <w:div w:id="1534029348">
      <w:bodyDiv w:val="1"/>
      <w:marLeft w:val="0"/>
      <w:marRight w:val="0"/>
      <w:marTop w:val="0"/>
      <w:marBottom w:val="0"/>
      <w:divBdr>
        <w:top w:val="none" w:sz="0" w:space="0" w:color="auto"/>
        <w:left w:val="none" w:sz="0" w:space="0" w:color="auto"/>
        <w:bottom w:val="none" w:sz="0" w:space="0" w:color="auto"/>
        <w:right w:val="none" w:sz="0" w:space="0" w:color="auto"/>
      </w:divBdr>
    </w:div>
    <w:div w:id="1574654890">
      <w:bodyDiv w:val="1"/>
      <w:marLeft w:val="0"/>
      <w:marRight w:val="0"/>
      <w:marTop w:val="0"/>
      <w:marBottom w:val="0"/>
      <w:divBdr>
        <w:top w:val="none" w:sz="0" w:space="0" w:color="auto"/>
        <w:left w:val="none" w:sz="0" w:space="0" w:color="auto"/>
        <w:bottom w:val="none" w:sz="0" w:space="0" w:color="auto"/>
        <w:right w:val="none" w:sz="0" w:space="0" w:color="auto"/>
      </w:divBdr>
    </w:div>
    <w:div w:id="1586377710">
      <w:bodyDiv w:val="1"/>
      <w:marLeft w:val="0"/>
      <w:marRight w:val="0"/>
      <w:marTop w:val="0"/>
      <w:marBottom w:val="0"/>
      <w:divBdr>
        <w:top w:val="none" w:sz="0" w:space="0" w:color="auto"/>
        <w:left w:val="none" w:sz="0" w:space="0" w:color="auto"/>
        <w:bottom w:val="none" w:sz="0" w:space="0" w:color="auto"/>
        <w:right w:val="none" w:sz="0" w:space="0" w:color="auto"/>
      </w:divBdr>
    </w:div>
    <w:div w:id="1690984545">
      <w:bodyDiv w:val="1"/>
      <w:marLeft w:val="0"/>
      <w:marRight w:val="0"/>
      <w:marTop w:val="0"/>
      <w:marBottom w:val="0"/>
      <w:divBdr>
        <w:top w:val="none" w:sz="0" w:space="0" w:color="auto"/>
        <w:left w:val="none" w:sz="0" w:space="0" w:color="auto"/>
        <w:bottom w:val="none" w:sz="0" w:space="0" w:color="auto"/>
        <w:right w:val="none" w:sz="0" w:space="0" w:color="auto"/>
      </w:divBdr>
    </w:div>
    <w:div w:id="1768378651">
      <w:bodyDiv w:val="1"/>
      <w:marLeft w:val="0"/>
      <w:marRight w:val="0"/>
      <w:marTop w:val="0"/>
      <w:marBottom w:val="0"/>
      <w:divBdr>
        <w:top w:val="none" w:sz="0" w:space="0" w:color="auto"/>
        <w:left w:val="none" w:sz="0" w:space="0" w:color="auto"/>
        <w:bottom w:val="none" w:sz="0" w:space="0" w:color="auto"/>
        <w:right w:val="none" w:sz="0" w:space="0" w:color="auto"/>
      </w:divBdr>
    </w:div>
    <w:div w:id="1813592034">
      <w:bodyDiv w:val="1"/>
      <w:marLeft w:val="0"/>
      <w:marRight w:val="0"/>
      <w:marTop w:val="0"/>
      <w:marBottom w:val="0"/>
      <w:divBdr>
        <w:top w:val="none" w:sz="0" w:space="0" w:color="auto"/>
        <w:left w:val="none" w:sz="0" w:space="0" w:color="auto"/>
        <w:bottom w:val="none" w:sz="0" w:space="0" w:color="auto"/>
        <w:right w:val="none" w:sz="0" w:space="0" w:color="auto"/>
      </w:divBdr>
    </w:div>
    <w:div w:id="1819106007">
      <w:bodyDiv w:val="1"/>
      <w:marLeft w:val="0"/>
      <w:marRight w:val="0"/>
      <w:marTop w:val="0"/>
      <w:marBottom w:val="0"/>
      <w:divBdr>
        <w:top w:val="none" w:sz="0" w:space="0" w:color="auto"/>
        <w:left w:val="none" w:sz="0" w:space="0" w:color="auto"/>
        <w:bottom w:val="none" w:sz="0" w:space="0" w:color="auto"/>
        <w:right w:val="none" w:sz="0" w:space="0" w:color="auto"/>
      </w:divBdr>
    </w:div>
    <w:div w:id="1847986566">
      <w:bodyDiv w:val="1"/>
      <w:marLeft w:val="0"/>
      <w:marRight w:val="0"/>
      <w:marTop w:val="0"/>
      <w:marBottom w:val="0"/>
      <w:divBdr>
        <w:top w:val="none" w:sz="0" w:space="0" w:color="auto"/>
        <w:left w:val="none" w:sz="0" w:space="0" w:color="auto"/>
        <w:bottom w:val="none" w:sz="0" w:space="0" w:color="auto"/>
        <w:right w:val="none" w:sz="0" w:space="0" w:color="auto"/>
      </w:divBdr>
    </w:div>
    <w:div w:id="1852064966">
      <w:bodyDiv w:val="1"/>
      <w:marLeft w:val="0"/>
      <w:marRight w:val="0"/>
      <w:marTop w:val="0"/>
      <w:marBottom w:val="0"/>
      <w:divBdr>
        <w:top w:val="none" w:sz="0" w:space="0" w:color="auto"/>
        <w:left w:val="none" w:sz="0" w:space="0" w:color="auto"/>
        <w:bottom w:val="none" w:sz="0" w:space="0" w:color="auto"/>
        <w:right w:val="none" w:sz="0" w:space="0" w:color="auto"/>
      </w:divBdr>
    </w:div>
    <w:div w:id="1903784442">
      <w:bodyDiv w:val="1"/>
      <w:marLeft w:val="0"/>
      <w:marRight w:val="0"/>
      <w:marTop w:val="0"/>
      <w:marBottom w:val="0"/>
      <w:divBdr>
        <w:top w:val="none" w:sz="0" w:space="0" w:color="auto"/>
        <w:left w:val="none" w:sz="0" w:space="0" w:color="auto"/>
        <w:bottom w:val="none" w:sz="0" w:space="0" w:color="auto"/>
        <w:right w:val="none" w:sz="0" w:space="0" w:color="auto"/>
      </w:divBdr>
    </w:div>
    <w:div w:id="1957365846">
      <w:bodyDiv w:val="1"/>
      <w:marLeft w:val="0"/>
      <w:marRight w:val="0"/>
      <w:marTop w:val="0"/>
      <w:marBottom w:val="0"/>
      <w:divBdr>
        <w:top w:val="none" w:sz="0" w:space="0" w:color="auto"/>
        <w:left w:val="none" w:sz="0" w:space="0" w:color="auto"/>
        <w:bottom w:val="none" w:sz="0" w:space="0" w:color="auto"/>
        <w:right w:val="none" w:sz="0" w:space="0" w:color="auto"/>
      </w:divBdr>
    </w:div>
    <w:div w:id="202258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https://www.protectivesecurity.govt.nz/information-security/classification-system-and-handling-requirements/handling-requirements/" TargetMode="External"/><Relationship Id="rId3" Type="http://schemas.openxmlformats.org/officeDocument/2006/relationships/customXml" Target="../customXml/item3.xml"/><Relationship Id="rId21" Type="http://schemas.openxmlformats.org/officeDocument/2006/relationships/hyperlink" Target="https://www.digital.govt.nz/standards-and-guidance/privacy-security-and-risk/privacy/privacy-maturity-assessment-framework-pmaf-and-self-assessments/complete-a-self-assessment/privacy-maturity-self-assessment-process/"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www.protectivesecurity.govt.nz/information-security/classification-system-and-handling-requirements/classification-system/"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digital.govt.nz/standards-and-guidance/privacy-security-and-risk/privacy/privacy-maturity-assessment-framework-pmaf-and-self-assessments/complete-a-self-assessment/core-expect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GCPO@dia.govt.nz" TargetMode="External"/><Relationship Id="rId32" Type="http://schemas.openxmlformats.org/officeDocument/2006/relationships/hyperlink" Target="https://www.digital.govt.nz/standards-and-guidance/privacy-security-and-risk/privacy/privacy-maturity-assessment-framework-pmaf-and-self-assessments/complete-a-self-assessment/privacy-domains/"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GCPO@dia.govt.nz" TargetMode="External"/><Relationship Id="rId28" Type="http://schemas.openxmlformats.org/officeDocument/2006/relationships/header" Target="header4.xml"/><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hyperlink" Target="https://www.digital.govt.nz/standards-and-guidance/privacy-security-and-risk/privacy/privacy-maturity-assessment-framework-pmaf-and-self-assessments/complete-a-self-assessment/planning-policies-and-practice/"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GCPO@dia.govt.nz" TargetMode="External"/><Relationship Id="rId27" Type="http://schemas.openxmlformats.org/officeDocument/2006/relationships/hyperlink" Target="https://protectivesecurity.govt.nz" TargetMode="External"/><Relationship Id="rId30" Type="http://schemas.openxmlformats.org/officeDocument/2006/relationships/hyperlink" Target="https://www.digital.govt.nz/standards-and-guidance/privacy-security-and-risk/privacy/privacy-maturity-assessment-framework-pmaf-and-self-assessments/complete-a-self-assessment/leadership/" TargetMode="External"/><Relationship Id="rId35" Type="http://schemas.openxmlformats.org/officeDocument/2006/relationships/theme" Target="theme/theme1.xml"/><Relationship Id="rId8" Type="http://schemas.openxmlformats.org/officeDocument/2006/relationships/customXml" Target="../customXml/item8.xml"/></Relationships>
</file>

<file path=word/_rels/footer3.xml.rels><?xml version="1.0" encoding="UTF-8" standalone="yes"?>
<Relationships xmlns="http://schemas.openxmlformats.org/package/2006/relationships"><Relationship Id="rId2" Type="http://schemas.openxmlformats.org/officeDocument/2006/relationships/image" Target="cid:image003.png@01D5CC6D.2B5267A0" TargetMode="External"/><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Planning Document" ma:contentTypeID="0x0101005496552013C0BA46BE88192D5C6EB20B0015FC31BDD77A41B1B3FE00733A6FDA21001338B5900EF33840817C722C14E0099F" ma:contentTypeVersion="8" ma:contentTypeDescription="Planning Document" ma:contentTypeScope="" ma:versionID="16c4b3901c64087d7a52abe3a454010f">
  <xsd:schema xmlns:xsd="http://www.w3.org/2001/XMLSchema" xmlns:xs="http://www.w3.org/2001/XMLSchema" xmlns:p="http://schemas.microsoft.com/office/2006/metadata/properties" xmlns:ns3="01be4277-2979-4a68-876d-b92b25fceece" xmlns:ns4="32912b76-460a-4724-b42f-6e9d0ecab840" xmlns:ns5="http://schemas.microsoft.com/sharepoint/v4" targetNamespace="http://schemas.microsoft.com/office/2006/metadata/properties" ma:root="true" ma:fieldsID="a5210ba22d43bf7c91bebd534ed9ea2a" ns3:_="" ns4:_="" ns5:_="">
    <xsd:import namespace="01be4277-2979-4a68-876d-b92b25fceece"/>
    <xsd:import namespace="32912b76-460a-4724-b42f-6e9d0ecab840"/>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i30eb2e5424543c4abb4965f12832c18" minOccurs="0"/>
                <xsd:element ref="ns4:DIANotes" minOccurs="0"/>
                <xsd:element ref="ns4:e2058516dff94aab88e02e36598cb8f3" minOccurs="0"/>
                <xsd:element ref="ns4:_dlc_DocId" minOccurs="0"/>
                <xsd:element ref="ns4:_dlc_DocIdUrl" minOccurs="0"/>
                <xsd:element ref="ns4:_dlc_DocIdPersistId"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72c2c278-ea91-4863-9fc6-a5f9c6b62013" ma:anchorId="1c96f9d7-855b-4eb2-ade2-889cbd62f791"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912b76-460a-4724-b42f-6e9d0ecab840"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d34886ce-b341-4a4d-8c20-f9090e7cd026}" ma:internalName="TaxCatchAll" ma:showField="CatchAllData" ma:web="32912b76-460a-4724-b42f-6e9d0ecab84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34886ce-b341-4a4d-8c20-f9090e7cd026}" ma:internalName="TaxCatchAllLabel" ma:readOnly="true" ma:showField="CatchAllDataLabel" ma:web="32912b76-460a-4724-b42f-6e9d0ecab840">
      <xsd:complexType>
        <xsd:complexContent>
          <xsd:extension base="dms:MultiChoiceLookup">
            <xsd:sequence>
              <xsd:element name="Value" type="dms:Lookup" maxOccurs="unbounded" minOccurs="0" nillable="true"/>
            </xsd:sequence>
          </xsd:extension>
        </xsd:complexContent>
      </xsd:complexType>
    </xsd:element>
    <xsd:element name="i30eb2e5424543c4abb4965f12832c18" ma:index="14" ma:taxonomy="true" ma:internalName="i30eb2e5424543c4abb4965f12832c18" ma:taxonomyFieldName="DIASecurityClassification" ma:displayName="Security Classification" ma:default="4;#UNCLASSIFIED|875d92a8-67e2-4a32-9472-8fe99549e1eb" ma:fieldId="{230eb2e5-4245-43c4-abb4-965f12832c1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e2058516dff94aab88e02e36598cb8f3" ma:index="17" nillable="true" ma:taxonomy="true" ma:internalName="e2058516dff94aab88e02e36598cb8f3" ma:taxonomyFieldName="DIAPlanningDocumentType" ma:displayName="Planning Document Type" ma:fieldId="{e2058516-dff9-4aab-88e0-2e36598cb8f3}" ma:sspId="caf61cd4-0327-4679-8f8a-6e41773e81e7" ma:termSetId="7ded7b10-a949-433c-9668-0b36b5a9b83b" ma:anchorId="00000000-0000-0000-0000-000000000000" ma:open="tru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32912b76-460a-4724-b42f-6e9d0ecab840">
      <Terms xmlns="http://schemas.microsoft.com/office/infopath/2007/PartnerControls"/>
    </TaxKeywordTaxHTField>
    <DIANotes xmlns="32912b76-460a-4724-b42f-6e9d0ecab840" xsi:nil="true"/>
    <i30eb2e5424543c4abb4965f12832c18 xmlns="32912b76-460a-4724-b42f-6e9d0ecab84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i30eb2e5424543c4abb4965f12832c18>
    <TaxCatchAll xmlns="32912b76-460a-4724-b42f-6e9d0ecab840">
      <Value>2279</Value>
      <Value>4</Value>
      <Value>3</Value>
    </TaxCatchAll>
    <_dlc_DocId xmlns="32912b76-460a-4724-b42f-6e9d0ecab840">EEJU23W3HNHT-1111130400-1072</_dlc_DocId>
    <_dlc_DocIdUrl xmlns="32912b76-460a-4724-b42f-6e9d0ecab840">
      <Url>https://dia.cohesion.net.nz/Sites/AOG/GCPO/_layouts/15/DocIdRedir.aspx?ID=EEJU23W3HNHT-1111130400-1072</Url>
      <Description>EEJU23W3HNHT-1111130400-1072</Description>
    </_dlc_DocIdUrl>
    <e2058516dff94aab88e02e36598cb8f3 xmlns="32912b76-460a-4724-b42f-6e9d0ecab840">
      <Terms xmlns="http://schemas.microsoft.com/office/infopath/2007/PartnerControls"/>
    </e2058516dff94aab88e02e36598cb8f3>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32912b76-460a-4724-b42f-6e9d0ecab840">
      <Terms xmlns="http://schemas.microsoft.com/office/infopath/2007/PartnerControls"/>
    </TaxKeywordTaxHTField>
    <DIANotes xmlns="32912b76-460a-4724-b42f-6e9d0ecab840" xsi:nil="true"/>
    <e2058516dff94aab88e02e36598cb8f3 xmlns="32912b76-460a-4724-b42f-6e9d0ecab840">
      <Terms xmlns="http://schemas.microsoft.com/office/infopath/2007/PartnerControls"/>
    </e2058516dff94aab88e02e36598cb8f3>
    <i30eb2e5424543c4abb4965f12832c18 xmlns="32912b76-460a-4724-b42f-6e9d0ecab84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i30eb2e5424543c4abb4965f12832c18>
    <IconOverlay xmlns="http://schemas.microsoft.com/sharepoint/v4" xsi:nil="true"/>
    <TaxCatchAll xmlns="32912b76-460a-4724-b42f-6e9d0ecab840">
      <Value>2279</Value>
      <Value>4</Value>
      <Value>3</Value>
    </TaxCatchAll>
    <_dlc_DocId xmlns="32912b76-460a-4724-b42f-6e9d0ecab840">EEJU23W3HNHT-1111130400-1071</_dlc_DocId>
    <_dlc_DocIdUrl xmlns="32912b76-460a-4724-b42f-6e9d0ecab840">
      <Url>https://dia.cohesion.net.nz/Sites/AOG/GCPO/_layouts/15/DocIdRedir.aspx?ID=EEJU23W3HNHT-1111130400-1071</Url>
      <Description>EEJU23W3HNHT-1111130400-1071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78A6C9-42DB-47D1-ABC0-BEF981FA2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32912b76-460a-4724-b42f-6e9d0ecab84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F30F8-2FB8-4786-9889-72B41941CB48}">
  <ds:schemaRefs>
    <ds:schemaRef ds:uri="http://purl.org/dc/terms/"/>
    <ds:schemaRef ds:uri="http://schemas.microsoft.com/office/2006/documentManagement/types"/>
    <ds:schemaRef ds:uri="http://schemas.microsoft.com/sharepoint/v4"/>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32912b76-460a-4724-b42f-6e9d0ecab840"/>
    <ds:schemaRef ds:uri="01be4277-2979-4a68-876d-b92b25fceece"/>
    <ds:schemaRef ds:uri="http://www.w3.org/XML/1998/namespace"/>
    <ds:schemaRef ds:uri="http://purl.org/dc/dcmitype/"/>
  </ds:schemaRefs>
</ds:datastoreItem>
</file>

<file path=customXml/itemProps3.xml><?xml version="1.0" encoding="utf-8"?>
<ds:datastoreItem xmlns:ds="http://schemas.openxmlformats.org/officeDocument/2006/customXml" ds:itemID="{09F25415-7E60-406E-8222-B437A977F7F7}">
  <ds:schemaRefs>
    <ds:schemaRef ds:uri="http://schemas.microsoft.com/sharepoint/v3/contenttype/forms"/>
  </ds:schemaRefs>
</ds:datastoreItem>
</file>

<file path=customXml/itemProps4.xml><?xml version="1.0" encoding="utf-8"?>
<ds:datastoreItem xmlns:ds="http://schemas.openxmlformats.org/officeDocument/2006/customXml" ds:itemID="{780224B0-CE65-499F-B038-FFBD76D79C0D}">
  <ds:schemaRefs>
    <ds:schemaRef ds:uri="http://schemas.openxmlformats.org/officeDocument/2006/bibliography"/>
  </ds:schemaRefs>
</ds:datastoreItem>
</file>

<file path=customXml/itemProps5.xml><?xml version="1.0" encoding="utf-8"?>
<ds:datastoreItem xmlns:ds="http://schemas.openxmlformats.org/officeDocument/2006/customXml" ds:itemID="{02F0D33C-F521-4706-B3BC-9571665FCC54}">
  <ds:schemaRefs>
    <ds:schemaRef ds:uri="http://schemas.microsoft.com/office/2006/metadata/properties"/>
    <ds:schemaRef ds:uri="http://schemas.microsoft.com/office/infopath/2007/PartnerControls"/>
    <ds:schemaRef ds:uri="01be4277-2979-4a68-876d-b92b25fceece"/>
    <ds:schemaRef ds:uri="32912b76-460a-4724-b42f-6e9d0ecab840"/>
    <ds:schemaRef ds:uri="http://schemas.microsoft.com/sharepoint/v4"/>
  </ds:schemaRefs>
</ds:datastoreItem>
</file>

<file path=customXml/itemProps6.xml><?xml version="1.0" encoding="utf-8"?>
<ds:datastoreItem xmlns:ds="http://schemas.openxmlformats.org/officeDocument/2006/customXml" ds:itemID="{8FBA5E10-7918-4453-8965-9C28EB998561}">
  <ds:schemaRefs>
    <ds:schemaRef ds:uri="http://schemas.microsoft.com/sharepoint/events"/>
  </ds:schemaRefs>
</ds:datastoreItem>
</file>

<file path=customXml/itemProps7.xml><?xml version="1.0" encoding="utf-8"?>
<ds:datastoreItem xmlns:ds="http://schemas.openxmlformats.org/officeDocument/2006/customXml" ds:itemID="{6DEE6FD5-F7B8-4EBD-8D33-8DE04B043B0C}">
  <ds:schemaRefs>
    <ds:schemaRef ds:uri="http://schemas.microsoft.com/sharepoint/v3/contenttype/forms"/>
  </ds:schemaRefs>
</ds:datastoreItem>
</file>

<file path=customXml/itemProps8.xml><?xml version="1.0" encoding="utf-8"?>
<ds:datastoreItem xmlns:ds="http://schemas.openxmlformats.org/officeDocument/2006/customXml" ds:itemID="{4E79D1D0-9F03-4E8E-90E9-46ACEB10BAF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5786</Words>
  <Characters>36689</Characters>
  <Application>Microsoft Office Word</Application>
  <DocSecurity>0</DocSecurity>
  <Lines>305</Lines>
  <Paragraphs>84</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42391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Anderson</dc:creator>
  <cp:keywords/>
  <dc:description/>
  <cp:lastModifiedBy>Daniel Anderson</cp:lastModifiedBy>
  <cp:revision>3</cp:revision>
  <cp:lastPrinted>2014-03-27T01:47:00Z</cp:lastPrinted>
  <dcterms:created xsi:type="dcterms:W3CDTF">2022-12-14T01:01:00Z</dcterms:created>
  <dcterms:modified xsi:type="dcterms:W3CDTF">2022-12-20T01:55:00Z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0x0101005496552013C0BA46BE88192D5C6EB20B0015FC31BDD77A41B1B3FE00733A6FDA21001338B5900EF33840817C722C14E0099F</vt:lpwstr>
  </property>
  <property fmtid="{D5CDD505-2E9C-101B-9397-08002B2CF9AE}" pid="3" name="DIAYear">
    <vt:lpwstr>2279;#2020|733cb193-9b2a-4932-9339-6f7e6ccec593</vt:lpwstr>
  </property>
  <property fmtid="{D5CDD505-2E9C-101B-9397-08002B2CF9AE}" pid="4" name="DIAInitiativeName">
    <vt:lpwstr>DPUP PMAF project</vt:lpwstr>
  </property>
  <property fmtid="{D5CDD505-2E9C-101B-9397-08002B2CF9AE}" pid="5" name="DIAEmailContentType">
    <vt:lpwstr>3;#Correspondence|dcd6b05f-dc80-4336-b228-09aebf3d212c</vt:lpwstr>
  </property>
  <property fmtid="{D5CDD505-2E9C-101B-9397-08002B2CF9AE}" pid="6" name="af512b3f0b7e4f0ab4dd0734b49f16fa">
    <vt:lpwstr>Correspondence|dcd6b05f-dc80-4336-b228-09aebf3d212c</vt:lpwstr>
  </property>
  <property fmtid="{D5CDD505-2E9C-101B-9397-08002B2CF9AE}" pid="7" name="DIASecurityClassification">
    <vt:lpwstr>4;#UNCLASSIFIED|875d92a8-67e2-4a32-9472-8fe99549e1eb</vt:lpwstr>
  </property>
  <property fmtid="{D5CDD505-2E9C-101B-9397-08002B2CF9AE}" pid="8" name="g132a64adae245189b5b2be2b4f1220f">
    <vt:lpwstr>2020|733cb193-9b2a-4932-9339-6f7e6ccec593</vt:lpwstr>
  </property>
  <property fmtid="{D5CDD505-2E9C-101B-9397-08002B2CF9AE}" pid="9" name="_dlc_DocIdItemGuid">
    <vt:lpwstr>bdd458c6-07ae-4ec5-bc48-23ccd3a71ea3</vt:lpwstr>
  </property>
  <property fmtid="{D5CDD505-2E9C-101B-9397-08002B2CF9AE}" pid="10" name="TaxKeyword">
    <vt:lpwstr/>
  </property>
  <property fmtid="{D5CDD505-2E9C-101B-9397-08002B2CF9AE}" pid="11" name="c794c62a77ac4a12986871855a87615d">
    <vt:lpwstr/>
  </property>
  <property fmtid="{D5CDD505-2E9C-101B-9397-08002B2CF9AE}" pid="12" name="DIAAdministrationDocumentType">
    <vt:lpwstr/>
  </property>
  <property fmtid="{D5CDD505-2E9C-101B-9397-08002B2CF9AE}" pid="13" name="h288be6dc87141bbb85aea15bb46feec">
    <vt:lpwstr/>
  </property>
  <property fmtid="{D5CDD505-2E9C-101B-9397-08002B2CF9AE}" pid="14" name="f2ff4695490c4bf79a895c9f81dcf06d">
    <vt:lpwstr/>
  </property>
  <property fmtid="{D5CDD505-2E9C-101B-9397-08002B2CF9AE}" pid="15" name="DIAPlanningDocumentType">
    <vt:lpwstr/>
  </property>
  <property fmtid="{D5CDD505-2E9C-101B-9397-08002B2CF9AE}" pid="16" name="C3Topic">
    <vt:lpwstr/>
  </property>
  <property fmtid="{D5CDD505-2E9C-101B-9397-08002B2CF9AE}" pid="17" name="DIAReportDocumentType">
    <vt:lpwstr/>
  </property>
  <property fmtid="{D5CDD505-2E9C-101B-9397-08002B2CF9AE}" pid="18" name="DIAMeetingDocumentType">
    <vt:lpwstr/>
  </property>
  <property fmtid="{D5CDD505-2E9C-101B-9397-08002B2CF9AE}" pid="19" name="e2058516dff94aab88e02e36598cb8f3">
    <vt:lpwstr/>
  </property>
</Properties>
</file>